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9A51" w14:textId="3514C879" w:rsidR="00031D89" w:rsidRPr="00397536" w:rsidRDefault="00031D89">
      <w:pPr>
        <w:rPr>
          <w:rFonts w:ascii="Minion Pro" w:hAnsi="Minion Pro"/>
          <w:sz w:val="22"/>
          <w:szCs w:val="22"/>
        </w:rPr>
      </w:pPr>
    </w:p>
    <w:p w14:paraId="3CF7EF09" w14:textId="77777777" w:rsidR="002D4B36" w:rsidRPr="00824413" w:rsidRDefault="002D4B36" w:rsidP="002D4B36">
      <w:pPr>
        <w:pStyle w:val="Titreprincipal"/>
        <w:rPr>
          <w:rFonts w:ascii="Minion Pro" w:hAnsi="Minion Pro" w:cstheme="minorHAnsi"/>
          <w:sz w:val="50"/>
          <w:szCs w:val="22"/>
        </w:rPr>
      </w:pPr>
      <w:r w:rsidRPr="00824413">
        <w:rPr>
          <w:rFonts w:ascii="Minion Pro" w:hAnsi="Minion Pro" w:cstheme="minorHAnsi"/>
          <w:sz w:val="50"/>
          <w:szCs w:val="22"/>
        </w:rPr>
        <w:t>Suivi Obstétrical Sage-Femme</w:t>
      </w:r>
    </w:p>
    <w:p w14:paraId="0E99F1E2" w14:textId="2F69C1A7" w:rsidR="002D4B36" w:rsidRPr="00824413" w:rsidRDefault="002D4B36" w:rsidP="002D4B36">
      <w:pPr>
        <w:pStyle w:val="Titreprincipal"/>
        <w:rPr>
          <w:rFonts w:ascii="Minion Pro" w:hAnsi="Minion Pro" w:cstheme="minorHAnsi"/>
          <w:sz w:val="62"/>
          <w:szCs w:val="22"/>
        </w:rPr>
      </w:pPr>
      <w:r w:rsidRPr="00824413">
        <w:rPr>
          <w:rFonts w:ascii="Minion Pro" w:hAnsi="Minion Pro" w:cstheme="minorHAnsi"/>
          <w:sz w:val="50"/>
          <w:szCs w:val="22"/>
        </w:rPr>
        <w:t xml:space="preserve">Définition des Critères </w:t>
      </w:r>
      <w:r w:rsidR="008E4072" w:rsidRPr="00824413">
        <w:rPr>
          <w:rFonts w:ascii="Minion Pro" w:hAnsi="Minion Pro" w:cstheme="minorHAnsi"/>
          <w:sz w:val="50"/>
          <w:szCs w:val="22"/>
        </w:rPr>
        <w:t>d’Evaluation</w:t>
      </w:r>
      <w:r w:rsidR="00824413" w:rsidRPr="00824413">
        <w:rPr>
          <w:rFonts w:ascii="Minion Pro" w:hAnsi="Minion Pro" w:cstheme="minorHAnsi"/>
          <w:sz w:val="50"/>
          <w:szCs w:val="22"/>
        </w:rPr>
        <w:t xml:space="preserve"> du Suivi</w:t>
      </w:r>
    </w:p>
    <w:p w14:paraId="42E114C3" w14:textId="77777777" w:rsidR="002D4B36" w:rsidRPr="00397536" w:rsidRDefault="002D4B36" w:rsidP="002D4B36">
      <w:pPr>
        <w:jc w:val="both"/>
        <w:rPr>
          <w:rFonts w:ascii="Minion Pro" w:hAnsi="Minion Pro" w:cstheme="minorHAnsi"/>
          <w:sz w:val="22"/>
          <w:szCs w:val="22"/>
        </w:rPr>
      </w:pPr>
    </w:p>
    <w:p w14:paraId="4FE65661" w14:textId="16BF150C" w:rsidR="002D4B36" w:rsidRDefault="002D4B36" w:rsidP="002D4B36">
      <w:pPr>
        <w:spacing w:after="0"/>
        <w:jc w:val="both"/>
        <w:rPr>
          <w:rFonts w:ascii="Minion Pro" w:hAnsi="Minion Pro"/>
          <w:sz w:val="22"/>
          <w:szCs w:val="22"/>
        </w:rPr>
      </w:pPr>
      <w:r w:rsidRPr="00397536">
        <w:rPr>
          <w:rFonts w:ascii="Minion Pro" w:hAnsi="Minion Pro"/>
          <w:sz w:val="22"/>
          <w:szCs w:val="22"/>
        </w:rPr>
        <w:t xml:space="preserve">Protocole proposé par Dr Donnadieu Anne-Claire le </w:t>
      </w:r>
      <w:r w:rsidR="00824413" w:rsidRPr="00397536">
        <w:rPr>
          <w:rFonts w:ascii="Minion Pro" w:hAnsi="Minion Pro"/>
          <w:sz w:val="22"/>
          <w:szCs w:val="22"/>
        </w:rPr>
        <w:t>23/05</w:t>
      </w:r>
      <w:r w:rsidRPr="00397536">
        <w:rPr>
          <w:rFonts w:ascii="Minion Pro" w:hAnsi="Minion Pro"/>
          <w:sz w:val="22"/>
          <w:szCs w:val="22"/>
        </w:rPr>
        <w:t>/202</w:t>
      </w:r>
      <w:r w:rsidR="00824413" w:rsidRPr="00397536">
        <w:rPr>
          <w:rFonts w:ascii="Minion Pro" w:hAnsi="Minion Pro"/>
          <w:sz w:val="22"/>
          <w:szCs w:val="22"/>
        </w:rPr>
        <w:t>2</w:t>
      </w:r>
      <w:r w:rsidRPr="00397536">
        <w:rPr>
          <w:rFonts w:ascii="Minion Pro" w:hAnsi="Minion Pro"/>
          <w:sz w:val="22"/>
          <w:szCs w:val="22"/>
        </w:rPr>
        <w:t xml:space="preserve">, puis corrigé et validé le </w:t>
      </w:r>
      <w:r w:rsidR="00824413" w:rsidRPr="00397536">
        <w:rPr>
          <w:rFonts w:ascii="Minion Pro" w:hAnsi="Minion Pro"/>
          <w:sz w:val="22"/>
          <w:szCs w:val="22"/>
        </w:rPr>
        <w:t>28</w:t>
      </w:r>
      <w:r w:rsidRPr="00397536">
        <w:rPr>
          <w:rFonts w:ascii="Minion Pro" w:hAnsi="Minion Pro"/>
          <w:sz w:val="22"/>
          <w:szCs w:val="22"/>
        </w:rPr>
        <w:t xml:space="preserve">/09/2022 par Dr Aissatou </w:t>
      </w:r>
      <w:proofErr w:type="spellStart"/>
      <w:r w:rsidRPr="00397536">
        <w:rPr>
          <w:rFonts w:ascii="Minion Pro" w:hAnsi="Minion Pro"/>
          <w:sz w:val="22"/>
          <w:szCs w:val="22"/>
        </w:rPr>
        <w:t>Ngom</w:t>
      </w:r>
      <w:proofErr w:type="spellEnd"/>
      <w:r w:rsidRPr="00397536">
        <w:rPr>
          <w:rFonts w:ascii="Minion Pro" w:hAnsi="Minion Pro"/>
          <w:sz w:val="22"/>
          <w:szCs w:val="22"/>
        </w:rPr>
        <w:t xml:space="preserve">, Médecin Responsable du Service de Gynécologie, Lionel </w:t>
      </w:r>
      <w:proofErr w:type="spellStart"/>
      <w:r w:rsidRPr="00397536">
        <w:rPr>
          <w:rFonts w:ascii="Minion Pro" w:hAnsi="Minion Pro"/>
          <w:sz w:val="22"/>
          <w:szCs w:val="22"/>
        </w:rPr>
        <w:t>Aguidissou</w:t>
      </w:r>
      <w:proofErr w:type="spellEnd"/>
      <w:r w:rsidRPr="00397536">
        <w:rPr>
          <w:rFonts w:ascii="Minion Pro" w:hAnsi="Minion Pro"/>
          <w:sz w:val="22"/>
          <w:szCs w:val="22"/>
        </w:rPr>
        <w:t xml:space="preserve">, Généraliste FFI Gynécologie, Dr Anafi </w:t>
      </w:r>
      <w:proofErr w:type="spellStart"/>
      <w:r w:rsidRPr="00397536">
        <w:rPr>
          <w:rFonts w:ascii="Minion Pro" w:hAnsi="Minion Pro"/>
          <w:sz w:val="22"/>
          <w:szCs w:val="22"/>
        </w:rPr>
        <w:t>Ouena</w:t>
      </w:r>
      <w:proofErr w:type="spellEnd"/>
      <w:r w:rsidRPr="00397536">
        <w:rPr>
          <w:rFonts w:ascii="Minion Pro" w:hAnsi="Minion Pro"/>
          <w:sz w:val="22"/>
          <w:szCs w:val="22"/>
        </w:rPr>
        <w:t>, Gynécologue</w:t>
      </w:r>
      <w:r w:rsidR="00E31D95">
        <w:rPr>
          <w:rFonts w:ascii="Minion Pro" w:hAnsi="Minion Pro"/>
          <w:sz w:val="22"/>
          <w:szCs w:val="22"/>
        </w:rPr>
        <w:t>.</w:t>
      </w:r>
    </w:p>
    <w:p w14:paraId="3B9738AA" w14:textId="7D1B06E8" w:rsidR="005A2E6E" w:rsidRDefault="005A2E6E" w:rsidP="002D4B36">
      <w:pPr>
        <w:spacing w:after="0"/>
        <w:jc w:val="both"/>
        <w:rPr>
          <w:rFonts w:ascii="Minion Pro" w:hAnsi="Minion Pro"/>
          <w:sz w:val="22"/>
          <w:szCs w:val="22"/>
        </w:rPr>
      </w:pPr>
    </w:p>
    <w:p w14:paraId="5BDCDC20" w14:textId="080D4956" w:rsidR="005A2E6E" w:rsidRDefault="00B906D0" w:rsidP="002D4B36">
      <w:pPr>
        <w:spacing w:after="0"/>
        <w:jc w:val="both"/>
        <w:rPr>
          <w:rFonts w:ascii="Minion Pro" w:hAnsi="Minion Pro"/>
          <w:b/>
          <w:bCs/>
          <w:sz w:val="22"/>
          <w:szCs w:val="22"/>
          <w:u w:val="single"/>
        </w:rPr>
      </w:pPr>
      <w:r>
        <w:rPr>
          <w:rFonts w:ascii="Minion Pro" w:hAnsi="Minion Pro"/>
          <w:b/>
          <w:bCs/>
          <w:sz w:val="22"/>
          <w:szCs w:val="22"/>
          <w:u w:val="single"/>
        </w:rPr>
        <w:t>Consultation</w:t>
      </w:r>
    </w:p>
    <w:p w14:paraId="52AFCB95" w14:textId="3F313000" w:rsidR="00B906D0" w:rsidRPr="00AD1FFD" w:rsidRDefault="00822302" w:rsidP="002D4B36">
      <w:pPr>
        <w:spacing w:after="0"/>
        <w:jc w:val="both"/>
        <w:rPr>
          <w:rFonts w:ascii="Minion Pro" w:hAnsi="Minion Pro"/>
          <w:sz w:val="22"/>
          <w:szCs w:val="22"/>
        </w:rPr>
      </w:pPr>
      <w:r w:rsidRPr="00AD1FFD">
        <w:rPr>
          <w:rFonts w:ascii="Minion Pro" w:hAnsi="Minion Pro"/>
          <w:sz w:val="22"/>
          <w:szCs w:val="22"/>
        </w:rPr>
        <w:t xml:space="preserve">Evaluation </w:t>
      </w:r>
      <w:r w:rsidR="00C011EB" w:rsidRPr="00AD1FFD">
        <w:rPr>
          <w:rFonts w:ascii="Minion Pro" w:hAnsi="Minion Pro"/>
          <w:sz w:val="22"/>
          <w:szCs w:val="22"/>
        </w:rPr>
        <w:t>hebdomadaire</w:t>
      </w:r>
      <w:r w:rsidR="001237F8" w:rsidRPr="00AD1FFD">
        <w:rPr>
          <w:rFonts w:ascii="Minion Pro" w:hAnsi="Minion Pro"/>
          <w:sz w:val="22"/>
          <w:szCs w:val="22"/>
        </w:rPr>
        <w:t xml:space="preserve"> fai</w:t>
      </w:r>
      <w:r w:rsidR="001527FB" w:rsidRPr="00AD1FFD">
        <w:rPr>
          <w:rFonts w:ascii="Minion Pro" w:hAnsi="Minion Pro"/>
          <w:sz w:val="22"/>
          <w:szCs w:val="22"/>
        </w:rPr>
        <w:t>t</w:t>
      </w:r>
      <w:r w:rsidR="001237F8" w:rsidRPr="00AD1FFD">
        <w:rPr>
          <w:rFonts w:ascii="Minion Pro" w:hAnsi="Minion Pro"/>
          <w:sz w:val="22"/>
          <w:szCs w:val="22"/>
        </w:rPr>
        <w:t>e par</w:t>
      </w:r>
      <w:r w:rsidR="0093486D" w:rsidRPr="00AD1FFD">
        <w:rPr>
          <w:rFonts w:ascii="Minion Pro" w:hAnsi="Minion Pro"/>
          <w:sz w:val="22"/>
          <w:szCs w:val="22"/>
        </w:rPr>
        <w:t xml:space="preserve"> la chargée de l’expérience-patient</w:t>
      </w:r>
    </w:p>
    <w:p w14:paraId="31BBED4B" w14:textId="5C394F2C" w:rsidR="006C11F1" w:rsidRPr="00B906D0" w:rsidRDefault="001527FB" w:rsidP="002D4B36">
      <w:pPr>
        <w:spacing w:after="0"/>
        <w:jc w:val="both"/>
        <w:rPr>
          <w:rFonts w:ascii="Minion Pro" w:hAnsi="Minion Pro"/>
          <w:sz w:val="22"/>
          <w:szCs w:val="22"/>
        </w:rPr>
      </w:pPr>
      <w:r w:rsidRPr="00AD1FFD">
        <w:rPr>
          <w:rFonts w:ascii="Minion Pro" w:hAnsi="Minion Pro"/>
          <w:sz w:val="22"/>
          <w:szCs w:val="22"/>
        </w:rPr>
        <w:t>Méthodologie : observation lors de la consultation</w:t>
      </w:r>
    </w:p>
    <w:tbl>
      <w:tblPr>
        <w:tblW w:w="92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0"/>
        <w:gridCol w:w="1042"/>
        <w:gridCol w:w="5569"/>
      </w:tblGrid>
      <w:tr w:rsidR="00B906D0" w:rsidRPr="00824413" w14:paraId="3669056C" w14:textId="77777777" w:rsidTr="00667F77">
        <w:trPr>
          <w:trHeight w:val="20"/>
          <w:jc w:val="center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14513" w14:textId="77777777" w:rsidR="00B906D0" w:rsidRPr="00D858E0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Conditions de la CPN et</w:t>
            </w: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br/>
              <w:t>éléments de la checklist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B728" w14:textId="77777777" w:rsidR="00B906D0" w:rsidRPr="00824413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376C" w14:textId="77777777" w:rsidR="00B906D0" w:rsidRPr="00824413" w:rsidRDefault="00B906D0" w:rsidP="009E1CEE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Ponctualité</w:t>
            </w:r>
          </w:p>
        </w:tc>
      </w:tr>
      <w:tr w:rsidR="00B906D0" w:rsidRPr="00824413" w14:paraId="17E64BBA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1DC3E" w14:textId="77777777" w:rsidR="00B906D0" w:rsidRPr="00D858E0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38D3" w14:textId="77777777" w:rsidR="00B906D0" w:rsidRPr="00824413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CBB2" w14:textId="77777777" w:rsidR="00B906D0" w:rsidRPr="00824413" w:rsidRDefault="00B906D0" w:rsidP="009E1CEE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Port de la blouse</w:t>
            </w:r>
          </w:p>
        </w:tc>
      </w:tr>
      <w:tr w:rsidR="00B906D0" w:rsidRPr="00824413" w14:paraId="7EAE27C9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3CCF3" w14:textId="77777777" w:rsidR="00B906D0" w:rsidRPr="00D858E0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70D3" w14:textId="77777777" w:rsidR="00B906D0" w:rsidRPr="00824413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C3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33E1" w14:textId="77777777" w:rsidR="00B906D0" w:rsidRPr="00824413" w:rsidRDefault="00B906D0" w:rsidP="009E1CEE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Asepsie des mains</w:t>
            </w:r>
          </w:p>
        </w:tc>
      </w:tr>
      <w:tr w:rsidR="00B906D0" w:rsidRPr="00824413" w14:paraId="0B469D9B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93D55" w14:textId="77777777" w:rsidR="00B906D0" w:rsidRPr="00D858E0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D4B4" w14:textId="77777777" w:rsidR="00B906D0" w:rsidRPr="00824413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C4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A360" w14:textId="4EE581D0" w:rsidR="00B906D0" w:rsidRPr="00824413" w:rsidRDefault="00B906D0" w:rsidP="009E1CEE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Condition de confidentialité, porte fermée, paravent...</w:t>
            </w:r>
          </w:p>
        </w:tc>
      </w:tr>
      <w:tr w:rsidR="00B906D0" w:rsidRPr="00824413" w14:paraId="1CE5EE99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E866" w14:textId="77777777" w:rsidR="00B906D0" w:rsidRPr="00D858E0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6785" w14:textId="77777777" w:rsidR="00B906D0" w:rsidRPr="00824413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C5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4AB0" w14:textId="496DA518" w:rsidR="00B906D0" w:rsidRPr="00824413" w:rsidRDefault="00B906D0" w:rsidP="009E1CEE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Matériel disponible : réglette, mètre ruban, balance, tensiomètre, </w:t>
            </w:r>
            <w:proofErr w:type="spellStart"/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soni</w:t>
            </w:r>
            <w:proofErr w:type="spellEnd"/>
          </w:p>
        </w:tc>
      </w:tr>
      <w:tr w:rsidR="00B906D0" w:rsidRPr="00824413" w14:paraId="34E2C1A9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20F3" w14:textId="77777777" w:rsidR="00B906D0" w:rsidRPr="00D858E0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DB0D" w14:textId="77777777" w:rsidR="00B906D0" w:rsidRPr="00824413" w:rsidRDefault="00B906D0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C6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5439" w14:textId="0427A7B4" w:rsidR="00B906D0" w:rsidRPr="00824413" w:rsidRDefault="00B906D0" w:rsidP="009E1CEE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Écoute de la patiente, attitude courtoise et cordial</w:t>
            </w:r>
            <w:r w:rsidR="00EE64B1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e</w:t>
            </w:r>
          </w:p>
        </w:tc>
      </w:tr>
    </w:tbl>
    <w:p w14:paraId="2638B80D" w14:textId="77777777" w:rsidR="005D37CF" w:rsidRDefault="005D37CF" w:rsidP="002D4B36">
      <w:pPr>
        <w:spacing w:after="0"/>
        <w:jc w:val="both"/>
        <w:rPr>
          <w:rFonts w:ascii="Minion Pro" w:hAnsi="Minion Pro"/>
          <w:b/>
          <w:bCs/>
          <w:sz w:val="22"/>
          <w:szCs w:val="22"/>
          <w:u w:val="single"/>
        </w:rPr>
      </w:pPr>
    </w:p>
    <w:p w14:paraId="0D5FD18C" w14:textId="355558B4" w:rsidR="00B906D0" w:rsidRDefault="00B906D0" w:rsidP="002D4B36">
      <w:pPr>
        <w:spacing w:after="0"/>
        <w:jc w:val="both"/>
        <w:rPr>
          <w:rFonts w:ascii="Minion Pro" w:hAnsi="Minion Pro"/>
          <w:b/>
          <w:bCs/>
          <w:sz w:val="22"/>
          <w:szCs w:val="22"/>
          <w:u w:val="single"/>
        </w:rPr>
      </w:pPr>
      <w:r>
        <w:rPr>
          <w:rFonts w:ascii="Minion Pro" w:hAnsi="Minion Pro"/>
          <w:b/>
          <w:bCs/>
          <w:sz w:val="22"/>
          <w:szCs w:val="22"/>
          <w:u w:val="single"/>
        </w:rPr>
        <w:t>Remplissage du dossier</w:t>
      </w:r>
    </w:p>
    <w:p w14:paraId="71AECB9B" w14:textId="1824842C" w:rsidR="00824413" w:rsidRPr="00AD1FFD" w:rsidRDefault="00B906D0" w:rsidP="00DD1F18">
      <w:pPr>
        <w:spacing w:after="0"/>
        <w:jc w:val="both"/>
        <w:rPr>
          <w:rFonts w:ascii="Minion Pro" w:hAnsi="Minion Pro"/>
          <w:sz w:val="22"/>
          <w:szCs w:val="22"/>
        </w:rPr>
      </w:pPr>
      <w:r w:rsidRPr="00AD1FFD">
        <w:rPr>
          <w:rFonts w:ascii="Minion Pro" w:hAnsi="Minion Pro"/>
          <w:sz w:val="22"/>
          <w:szCs w:val="22"/>
        </w:rPr>
        <w:t xml:space="preserve">Evaluation </w:t>
      </w:r>
      <w:r w:rsidR="00473FFE">
        <w:rPr>
          <w:rFonts w:ascii="Minion Pro" w:hAnsi="Minion Pro"/>
          <w:sz w:val="22"/>
          <w:szCs w:val="22"/>
        </w:rPr>
        <w:t>toutes les deux semaines</w:t>
      </w:r>
      <w:r w:rsidR="001527FB" w:rsidRPr="00AD1FFD">
        <w:rPr>
          <w:rFonts w:ascii="Minion Pro" w:hAnsi="Minion Pro"/>
          <w:sz w:val="22"/>
          <w:szCs w:val="22"/>
        </w:rPr>
        <w:t xml:space="preserve"> par le staff : 1 dossier par sage-femme</w:t>
      </w:r>
    </w:p>
    <w:p w14:paraId="3E692935" w14:textId="1C05D2F9" w:rsidR="00DD1F18" w:rsidRPr="00DD1F18" w:rsidRDefault="001527FB" w:rsidP="00DD1F18">
      <w:pPr>
        <w:spacing w:after="0"/>
        <w:jc w:val="both"/>
        <w:rPr>
          <w:rFonts w:ascii="Minion Pro" w:hAnsi="Minion Pro"/>
          <w:sz w:val="22"/>
          <w:szCs w:val="22"/>
        </w:rPr>
      </w:pPr>
      <w:r w:rsidRPr="00AD1FFD">
        <w:rPr>
          <w:rFonts w:ascii="Minion Pro" w:hAnsi="Minion Pro"/>
          <w:sz w:val="22"/>
          <w:szCs w:val="22"/>
        </w:rPr>
        <w:t xml:space="preserve">Méthodologie : audit 1 dossier tiré au hasard </w:t>
      </w:r>
      <w:r w:rsidR="00C011EB" w:rsidRPr="00AD1FFD">
        <w:rPr>
          <w:rFonts w:ascii="Minion Pro" w:hAnsi="Minion Pro"/>
          <w:sz w:val="22"/>
          <w:szCs w:val="22"/>
        </w:rPr>
        <w:t>au-delà de 36 semaines</w:t>
      </w:r>
    </w:p>
    <w:tbl>
      <w:tblPr>
        <w:tblW w:w="92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0"/>
        <w:gridCol w:w="1042"/>
        <w:gridCol w:w="5569"/>
      </w:tblGrid>
      <w:tr w:rsidR="00D858E0" w:rsidRPr="00D858E0" w14:paraId="6BA43328" w14:textId="77777777" w:rsidTr="00667F77">
        <w:trPr>
          <w:trHeight w:val="20"/>
          <w:jc w:val="center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8B72E" w14:textId="347A6042" w:rsidR="00D858E0" w:rsidRPr="00D858E0" w:rsidRDefault="00242F08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Identitovigilance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0791" w14:textId="5EF6F9EE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C7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1EDF" w14:textId="43DF16BF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Nom, Nom de jeune fille, prénom</w:t>
            </w:r>
          </w:p>
        </w:tc>
      </w:tr>
      <w:tr w:rsidR="00D858E0" w:rsidRPr="00D858E0" w14:paraId="2724B75F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48288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67D7" w14:textId="38282A1E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C8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6293" w14:textId="77777777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DDN</w:t>
            </w:r>
          </w:p>
        </w:tc>
      </w:tr>
      <w:tr w:rsidR="00D858E0" w:rsidRPr="00D858E0" w14:paraId="63F8A582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F9A9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74F4" w14:textId="1470A01B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C9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8C61" w14:textId="77777777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Téléphone de la patiente</w:t>
            </w:r>
          </w:p>
        </w:tc>
      </w:tr>
      <w:tr w:rsidR="00D858E0" w:rsidRPr="00D858E0" w14:paraId="1D58DE16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5BB3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5653" w14:textId="5B385823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C10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8FC8" w14:textId="77777777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Date de la CS</w:t>
            </w:r>
          </w:p>
        </w:tc>
      </w:tr>
      <w:tr w:rsidR="00D858E0" w:rsidRPr="00D858E0" w14:paraId="07CC7ECD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142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A876" w14:textId="1B9A296F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C11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B918" w14:textId="77777777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Nom du consultant</w:t>
            </w:r>
          </w:p>
        </w:tc>
      </w:tr>
      <w:tr w:rsidR="00D858E0" w:rsidRPr="00D858E0" w14:paraId="5F8952FC" w14:textId="77777777" w:rsidTr="00667F77">
        <w:trPr>
          <w:trHeight w:val="20"/>
          <w:jc w:val="center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AC311" w14:textId="3BDC01CD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Interrogatoire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2835" w14:textId="04343E53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C12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59C4" w14:textId="1C0A2DA3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ATCD médicaux</w:t>
            </w:r>
          </w:p>
        </w:tc>
      </w:tr>
      <w:tr w:rsidR="00D858E0" w:rsidRPr="00D858E0" w14:paraId="01457357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BFB2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7D1E" w14:textId="6347B610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C13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AD23" w14:textId="35D94F7D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ATCD obstétricaux y compris VAT, sérum </w:t>
            </w:r>
            <w:r w:rsidR="008446FE"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anti-D</w:t>
            </w: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, poids de naissance et terme</w:t>
            </w:r>
          </w:p>
        </w:tc>
      </w:tr>
      <w:tr w:rsidR="00D858E0" w:rsidRPr="00D858E0" w14:paraId="3E2EE571" w14:textId="77777777" w:rsidTr="00667F77">
        <w:trPr>
          <w:trHeight w:val="20"/>
          <w:jc w:val="center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10CB8" w14:textId="4B61094E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Examen obstétrical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8487" w14:textId="512081B1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C14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2A86" w14:textId="23628B19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Taille-poids-IMC</w:t>
            </w:r>
          </w:p>
        </w:tc>
      </w:tr>
      <w:tr w:rsidR="00D858E0" w:rsidRPr="00D858E0" w14:paraId="5417885A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AACED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EC54" w14:textId="6C013964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C</w:t>
            </w:r>
            <w:r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1</w:t>
            </w: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5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28E9" w14:textId="77777777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TA/pouls/bandelette urinaire</w:t>
            </w:r>
          </w:p>
        </w:tc>
      </w:tr>
      <w:tr w:rsidR="00D858E0" w:rsidRPr="00D858E0" w14:paraId="7200C606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2495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C80D" w14:textId="06039D87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C16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6F04" w14:textId="03C4D7BB" w:rsidR="00D858E0" w:rsidRPr="00824413" w:rsidRDefault="008446FE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Œdèmes</w:t>
            </w:r>
          </w:p>
        </w:tc>
      </w:tr>
      <w:tr w:rsidR="00D858E0" w:rsidRPr="00D858E0" w14:paraId="082DB2AA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CB2BE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D369" w14:textId="53BF029B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C17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271B" w14:textId="77777777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Examen des seins</w:t>
            </w:r>
          </w:p>
        </w:tc>
      </w:tr>
      <w:tr w:rsidR="00D858E0" w:rsidRPr="00D858E0" w14:paraId="15168FC2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610E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D150" w14:textId="61D3E7D9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C18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D4B0" w14:textId="77777777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HU</w:t>
            </w:r>
          </w:p>
        </w:tc>
      </w:tr>
      <w:tr w:rsidR="00D858E0" w:rsidRPr="00D858E0" w14:paraId="011DFC68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1BDE9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B489" w14:textId="19724D1F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C19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A1F2" w14:textId="77777777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BDC</w:t>
            </w:r>
          </w:p>
        </w:tc>
      </w:tr>
      <w:tr w:rsidR="00D858E0" w:rsidRPr="00D858E0" w14:paraId="41B5C73F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C071" w14:textId="7777777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D734" w14:textId="5BDF5A86" w:rsidR="00D858E0" w:rsidRPr="00824413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C20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34A" w14:textId="77777777" w:rsidR="00D858E0" w:rsidRPr="00824413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Présentation (3ºT)</w:t>
            </w:r>
          </w:p>
        </w:tc>
      </w:tr>
      <w:tr w:rsidR="00D858E0" w:rsidRPr="00D858E0" w14:paraId="70777F0C" w14:textId="77777777" w:rsidTr="00667F77">
        <w:trPr>
          <w:trHeight w:val="20"/>
          <w:jc w:val="center"/>
        </w:trPr>
        <w:tc>
          <w:tcPr>
            <w:tcW w:w="2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249DD" w14:textId="5085C4E7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Toucher vaginal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7DCD" w14:textId="36DFBB58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C21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E522" w14:textId="4022E840" w:rsidR="00D858E0" w:rsidRPr="00D858E0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Résultats attendus selon l'âge de la grossesse</w:t>
            </w:r>
          </w:p>
        </w:tc>
      </w:tr>
      <w:tr w:rsidR="00D858E0" w:rsidRPr="00D858E0" w14:paraId="79B87796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6E31" w14:textId="57D6EA63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C37" w14:textId="2DE7D492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C22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7F96" w14:textId="31D2AD1F" w:rsidR="00D858E0" w:rsidRPr="00D858E0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Selon directives</w:t>
            </w:r>
          </w:p>
        </w:tc>
      </w:tr>
      <w:tr w:rsidR="00D858E0" w:rsidRPr="00D858E0" w14:paraId="08B91FDC" w14:textId="77777777" w:rsidTr="00667F77">
        <w:trPr>
          <w:trHeight w:val="20"/>
          <w:jc w:val="center"/>
        </w:trPr>
        <w:tc>
          <w:tcPr>
            <w:tcW w:w="2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BFB81" w14:textId="410800D5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Prescription correcte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4BDE" w14:textId="6B14B0E9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C23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72D9" w14:textId="13D3CA11" w:rsidR="00D858E0" w:rsidRPr="00D858E0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Fer</w:t>
            </w:r>
          </w:p>
        </w:tc>
      </w:tr>
      <w:tr w:rsidR="00D858E0" w:rsidRPr="00D858E0" w14:paraId="39A0E3CF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9383A" w14:textId="2EF7A2D6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7BE" w14:textId="55DA1A02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C24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8996" w14:textId="2B24A9CD" w:rsidR="00D858E0" w:rsidRPr="00D858E0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SP DOT</w:t>
            </w:r>
          </w:p>
        </w:tc>
      </w:tr>
      <w:tr w:rsidR="00D858E0" w:rsidRPr="00D858E0" w14:paraId="2D2E4A15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2DE5" w14:textId="31A48D40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81EF" w14:textId="3892E69A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C25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7C33" w14:textId="76A58692" w:rsidR="00D858E0" w:rsidRPr="00D858E0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VAT</w:t>
            </w:r>
          </w:p>
        </w:tc>
      </w:tr>
      <w:tr w:rsidR="00D858E0" w:rsidRPr="00D858E0" w14:paraId="29AAD28D" w14:textId="77777777" w:rsidTr="00667F77">
        <w:trPr>
          <w:trHeight w:val="20"/>
          <w:jc w:val="center"/>
        </w:trPr>
        <w:tc>
          <w:tcPr>
            <w:tcW w:w="2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4DF1" w14:textId="195C3854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Gestion des cas</w:t>
            </w: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br/>
              <w:t>FDR/complication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1BA1" w14:textId="01E99E79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C26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9361" w14:textId="7A714505" w:rsidR="00D858E0" w:rsidRPr="00D858E0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Identification des facteurs de risques et/ou des complications</w:t>
            </w:r>
          </w:p>
        </w:tc>
      </w:tr>
      <w:tr w:rsidR="00D858E0" w:rsidRPr="00D858E0" w14:paraId="47798B1E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713F" w14:textId="577707A2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781" w14:textId="5813C2E2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C27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43D9" w14:textId="092848B9" w:rsidR="00D858E0" w:rsidRPr="00D858E0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Avis médical pour le suivi</w:t>
            </w:r>
          </w:p>
        </w:tc>
      </w:tr>
      <w:tr w:rsidR="00D858E0" w:rsidRPr="00D858E0" w14:paraId="3A47707A" w14:textId="77777777" w:rsidTr="00667F77">
        <w:trPr>
          <w:trHeight w:val="20"/>
          <w:jc w:val="center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027" w14:textId="602CE7E2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5289" w14:textId="68FEABAF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C28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3EB8" w14:textId="0D0D3EB4" w:rsidR="00D858E0" w:rsidRPr="00D858E0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Explications fournies à la patiente</w:t>
            </w:r>
          </w:p>
        </w:tc>
      </w:tr>
      <w:tr w:rsidR="00D858E0" w:rsidRPr="00D858E0" w14:paraId="0223C8DF" w14:textId="77777777" w:rsidTr="00667F77">
        <w:trPr>
          <w:trHeight w:val="20"/>
          <w:jc w:val="center"/>
        </w:trPr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5B18" w14:textId="5093E725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Action préventive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7F03" w14:textId="55174963" w:rsidR="00D858E0" w:rsidRPr="00D858E0" w:rsidRDefault="00D858E0" w:rsidP="00D858E0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C29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6104" w14:textId="796737B9" w:rsidR="00D858E0" w:rsidRPr="00D858E0" w:rsidRDefault="00D858E0" w:rsidP="003A0C49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Info prévention, palu, diabète HTA</w:t>
            </w:r>
          </w:p>
        </w:tc>
      </w:tr>
    </w:tbl>
    <w:p w14:paraId="7ADED874" w14:textId="5632057B" w:rsidR="00822302" w:rsidRDefault="00822302" w:rsidP="002D4B36">
      <w:pPr>
        <w:spacing w:before="120" w:after="0"/>
        <w:jc w:val="both"/>
        <w:rPr>
          <w:rFonts w:ascii="Minion Pro" w:eastAsia="Times New Roman" w:hAnsi="Minion Pro" w:cstheme="minorHAnsi"/>
          <w:sz w:val="18"/>
          <w:szCs w:val="18"/>
        </w:rPr>
      </w:pPr>
    </w:p>
    <w:p w14:paraId="6F9541D1" w14:textId="6965DF89" w:rsidR="003D4EF3" w:rsidRDefault="003D4EF3" w:rsidP="003D4EF3">
      <w:pPr>
        <w:spacing w:after="0"/>
        <w:jc w:val="both"/>
        <w:rPr>
          <w:rFonts w:ascii="Minion Pro" w:hAnsi="Minion Pro"/>
          <w:b/>
          <w:bCs/>
          <w:sz w:val="22"/>
          <w:szCs w:val="22"/>
          <w:u w:val="single"/>
        </w:rPr>
      </w:pPr>
      <w:r>
        <w:rPr>
          <w:rFonts w:ascii="Minion Pro" w:hAnsi="Minion Pro"/>
          <w:b/>
          <w:bCs/>
          <w:sz w:val="22"/>
          <w:szCs w:val="22"/>
          <w:u w:val="single"/>
        </w:rPr>
        <w:t>Respect des règles</w:t>
      </w:r>
      <w:r w:rsidR="00653147">
        <w:rPr>
          <w:rFonts w:ascii="Minion Pro" w:hAnsi="Minion Pro"/>
          <w:b/>
          <w:bCs/>
          <w:sz w:val="22"/>
          <w:szCs w:val="22"/>
          <w:u w:val="single"/>
        </w:rPr>
        <w:t xml:space="preserve"> générales</w:t>
      </w:r>
      <w:r>
        <w:rPr>
          <w:rFonts w:ascii="Minion Pro" w:hAnsi="Minion Pro"/>
          <w:b/>
          <w:bCs/>
          <w:sz w:val="22"/>
          <w:szCs w:val="22"/>
          <w:u w:val="single"/>
        </w:rPr>
        <w:t xml:space="preserve"> de fonctionnement</w:t>
      </w:r>
    </w:p>
    <w:p w14:paraId="4C0AD68D" w14:textId="3D8AB7E4" w:rsidR="003D4EF3" w:rsidRPr="00334974" w:rsidRDefault="003D4EF3" w:rsidP="003D4EF3">
      <w:pPr>
        <w:spacing w:after="0"/>
        <w:jc w:val="both"/>
        <w:rPr>
          <w:rFonts w:ascii="Minion Pro" w:hAnsi="Minion Pro"/>
          <w:sz w:val="22"/>
          <w:szCs w:val="22"/>
        </w:rPr>
      </w:pPr>
      <w:r w:rsidRPr="00334974">
        <w:rPr>
          <w:rFonts w:ascii="Minion Pro" w:hAnsi="Minion Pro"/>
          <w:sz w:val="22"/>
          <w:szCs w:val="22"/>
        </w:rPr>
        <w:t xml:space="preserve">Evaluation </w:t>
      </w:r>
      <w:r w:rsidR="00FF5B3F">
        <w:rPr>
          <w:rFonts w:ascii="Minion Pro" w:hAnsi="Minion Pro"/>
          <w:sz w:val="22"/>
          <w:szCs w:val="22"/>
        </w:rPr>
        <w:t xml:space="preserve">faite </w:t>
      </w:r>
      <w:r w:rsidR="00AA36C3">
        <w:rPr>
          <w:rFonts w:ascii="Minion Pro" w:hAnsi="Minion Pro"/>
          <w:sz w:val="22"/>
          <w:szCs w:val="22"/>
        </w:rPr>
        <w:t>toutes les deux semaines</w:t>
      </w:r>
      <w:r w:rsidRPr="00334974">
        <w:rPr>
          <w:rFonts w:ascii="Minion Pro" w:hAnsi="Minion Pro"/>
          <w:sz w:val="22"/>
          <w:szCs w:val="22"/>
        </w:rPr>
        <w:t xml:space="preserve"> par le staff</w:t>
      </w:r>
    </w:p>
    <w:p w14:paraId="615FDE84" w14:textId="1D9F2354" w:rsidR="003D4EF3" w:rsidRPr="00667F77" w:rsidRDefault="003D4EF3" w:rsidP="003D4EF3">
      <w:pPr>
        <w:spacing w:after="0"/>
        <w:jc w:val="both"/>
        <w:rPr>
          <w:rFonts w:ascii="Minion Pro" w:hAnsi="Minion Pro"/>
          <w:sz w:val="22"/>
          <w:szCs w:val="22"/>
        </w:rPr>
      </w:pPr>
      <w:r w:rsidRPr="00334974">
        <w:rPr>
          <w:rFonts w:ascii="Minion Pro" w:hAnsi="Minion Pro"/>
          <w:sz w:val="22"/>
          <w:szCs w:val="22"/>
        </w:rPr>
        <w:t xml:space="preserve">Méthodologie : </w:t>
      </w:r>
      <w:r w:rsidR="00653147" w:rsidRPr="00334974">
        <w:rPr>
          <w:rFonts w:ascii="Minion Pro" w:hAnsi="Minion Pro"/>
          <w:sz w:val="22"/>
          <w:szCs w:val="22"/>
        </w:rPr>
        <w:t>analyse des dossiers et de l’activité (photographie à date)</w:t>
      </w:r>
    </w:p>
    <w:tbl>
      <w:tblPr>
        <w:tblW w:w="92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0"/>
        <w:gridCol w:w="1042"/>
        <w:gridCol w:w="5569"/>
      </w:tblGrid>
      <w:tr w:rsidR="003D4EF3" w:rsidRPr="00334974" w14:paraId="192442B7" w14:textId="77777777" w:rsidTr="00667F77">
        <w:trPr>
          <w:trHeight w:val="57"/>
          <w:jc w:val="center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856A1" w14:textId="7570A399" w:rsidR="003D4EF3" w:rsidRPr="00334974" w:rsidRDefault="00653147" w:rsidP="00653147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334974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Respect des règles générales de fonctionnement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2ED0" w14:textId="4C17DD21" w:rsidR="003D4EF3" w:rsidRPr="00334974" w:rsidRDefault="003D4EF3" w:rsidP="00653147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334974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C30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B09C" w14:textId="64F06773" w:rsidR="003D4EF3" w:rsidRPr="00334974" w:rsidRDefault="003D4EF3" w:rsidP="00653147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334974"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  <w:t>Référence vers la consultation d’adhésion pour l’inscription d’une patiente</w:t>
            </w:r>
          </w:p>
        </w:tc>
      </w:tr>
      <w:tr w:rsidR="003D4EF3" w:rsidRPr="00334974" w14:paraId="715E153C" w14:textId="77777777" w:rsidTr="00667F77">
        <w:trPr>
          <w:trHeight w:val="57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2BA4" w14:textId="77777777" w:rsidR="003D4EF3" w:rsidRPr="00334974" w:rsidRDefault="003D4EF3" w:rsidP="00653147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FF28" w14:textId="58F607D5" w:rsidR="003D4EF3" w:rsidRPr="00334974" w:rsidRDefault="003D4EF3" w:rsidP="00653147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334974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C31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D6F" w14:textId="2CEE68E8" w:rsidR="003D4EF3" w:rsidRPr="00334974" w:rsidRDefault="00653147" w:rsidP="00653147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334974"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  <w:t>Tous les dossiers (papiers et/ou informatiques) sont créés</w:t>
            </w:r>
          </w:p>
        </w:tc>
      </w:tr>
      <w:tr w:rsidR="003D4EF3" w:rsidRPr="00824413" w14:paraId="246979FF" w14:textId="77777777" w:rsidTr="00667F77">
        <w:trPr>
          <w:trHeight w:val="57"/>
          <w:jc w:val="center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EF812" w14:textId="77777777" w:rsidR="003D4EF3" w:rsidRPr="00334974" w:rsidRDefault="003D4EF3" w:rsidP="00653147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B0BE" w14:textId="7BCA293A" w:rsidR="003D4EF3" w:rsidRPr="00334974" w:rsidRDefault="003D4EF3" w:rsidP="00653147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334974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C3</w:t>
            </w:r>
            <w:r w:rsidR="00334974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3991" w14:textId="3C732E40" w:rsidR="003D4EF3" w:rsidRPr="00334974" w:rsidRDefault="00653147" w:rsidP="00653147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334974"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  <w:t>Toutes les patientes sont reçues en salle de consultation</w:t>
            </w:r>
          </w:p>
        </w:tc>
      </w:tr>
    </w:tbl>
    <w:p w14:paraId="7520A646" w14:textId="52243985" w:rsidR="003D4EF3" w:rsidRDefault="003D4EF3" w:rsidP="00653147">
      <w:pPr>
        <w:jc w:val="both"/>
        <w:rPr>
          <w:noProof/>
        </w:rPr>
      </w:pPr>
    </w:p>
    <w:p w14:paraId="10CCB6F3" w14:textId="6264217F" w:rsidR="005A2E6E" w:rsidRDefault="005A2E6E" w:rsidP="005A2E6E">
      <w:pPr>
        <w:spacing w:after="0"/>
        <w:jc w:val="both"/>
        <w:rPr>
          <w:rFonts w:ascii="Minion Pro" w:hAnsi="Minion Pro"/>
          <w:b/>
          <w:bCs/>
          <w:sz w:val="22"/>
          <w:szCs w:val="22"/>
          <w:u w:val="single"/>
        </w:rPr>
      </w:pPr>
      <w:r w:rsidRPr="005A2E6E">
        <w:rPr>
          <w:rFonts w:ascii="Minion Pro" w:hAnsi="Minion Pro"/>
          <w:b/>
          <w:bCs/>
          <w:sz w:val="22"/>
          <w:szCs w:val="22"/>
          <w:u w:val="single"/>
        </w:rPr>
        <w:t>Appréciation de l’évaluation</w:t>
      </w:r>
    </w:p>
    <w:p w14:paraId="3665F036" w14:textId="77777777" w:rsidR="00C623E6" w:rsidRPr="005A2E6E" w:rsidRDefault="00C623E6" w:rsidP="005A2E6E">
      <w:pPr>
        <w:spacing w:after="0"/>
        <w:jc w:val="both"/>
        <w:rPr>
          <w:rFonts w:ascii="Minion Pro" w:hAnsi="Minion Pro"/>
          <w:b/>
          <w:bCs/>
          <w:sz w:val="22"/>
          <w:szCs w:val="22"/>
          <w:u w:val="single"/>
        </w:rPr>
      </w:pPr>
    </w:p>
    <w:tbl>
      <w:tblPr>
        <w:tblStyle w:val="Grilledutableau"/>
        <w:tblW w:w="9148" w:type="dxa"/>
        <w:jc w:val="center"/>
        <w:tblLook w:val="0420" w:firstRow="1" w:lastRow="0" w:firstColumn="0" w:lastColumn="0" w:noHBand="0" w:noVBand="1"/>
      </w:tblPr>
      <w:tblGrid>
        <w:gridCol w:w="4574"/>
        <w:gridCol w:w="4574"/>
      </w:tblGrid>
      <w:tr w:rsidR="005A2E6E" w:rsidRPr="005A2E6E" w14:paraId="4DD2E712" w14:textId="77777777" w:rsidTr="00C623E6">
        <w:trPr>
          <w:trHeight w:val="394"/>
          <w:jc w:val="center"/>
        </w:trPr>
        <w:tc>
          <w:tcPr>
            <w:tcW w:w="4574" w:type="dxa"/>
            <w:noWrap/>
            <w:vAlign w:val="center"/>
            <w:hideMark/>
          </w:tcPr>
          <w:p w14:paraId="3DE2FF28" w14:textId="4EF395D5" w:rsidR="005A2E6E" w:rsidRPr="005A2E6E" w:rsidRDefault="005A2E6E" w:rsidP="005A2E6E">
            <w:pPr>
              <w:spacing w:line="240" w:lineRule="auto"/>
              <w:jc w:val="center"/>
              <w:rPr>
                <w:rFonts w:ascii="Minion Pro" w:hAnsi="Minion Pro"/>
                <w:b/>
                <w:bCs/>
                <w:iCs/>
                <w:color w:val="000000"/>
                <w:sz w:val="22"/>
                <w:szCs w:val="22"/>
              </w:rPr>
            </w:pPr>
            <w:r w:rsidRPr="005A2E6E">
              <w:rPr>
                <w:rFonts w:ascii="Minion Pro" w:hAnsi="Minion Pro"/>
                <w:b/>
                <w:bCs/>
                <w:iCs/>
                <w:color w:val="000000"/>
                <w:sz w:val="22"/>
                <w:szCs w:val="22"/>
              </w:rPr>
              <w:t>Taux de conformité avec les critères</w:t>
            </w:r>
          </w:p>
        </w:tc>
        <w:tc>
          <w:tcPr>
            <w:tcW w:w="4574" w:type="dxa"/>
            <w:noWrap/>
            <w:vAlign w:val="center"/>
            <w:hideMark/>
          </w:tcPr>
          <w:p w14:paraId="2B21E174" w14:textId="77777777" w:rsidR="005A2E6E" w:rsidRPr="005A2E6E" w:rsidRDefault="005A2E6E" w:rsidP="005A2E6E">
            <w:pPr>
              <w:spacing w:line="240" w:lineRule="auto"/>
              <w:jc w:val="center"/>
              <w:rPr>
                <w:rFonts w:ascii="Minion Pro" w:hAnsi="Minion Pro"/>
                <w:b/>
                <w:bCs/>
                <w:iCs/>
                <w:color w:val="000000"/>
                <w:sz w:val="22"/>
                <w:szCs w:val="22"/>
              </w:rPr>
            </w:pPr>
            <w:r w:rsidRPr="005A2E6E">
              <w:rPr>
                <w:rFonts w:ascii="Minion Pro" w:hAnsi="Minion Pro"/>
                <w:b/>
                <w:bCs/>
                <w:iCs/>
                <w:color w:val="000000"/>
                <w:sz w:val="22"/>
                <w:szCs w:val="22"/>
              </w:rPr>
              <w:t>Appréciation correspondante</w:t>
            </w:r>
          </w:p>
        </w:tc>
      </w:tr>
      <w:tr w:rsidR="005A2E6E" w:rsidRPr="005A2E6E" w14:paraId="190D64D1" w14:textId="77777777" w:rsidTr="00C623E6">
        <w:trPr>
          <w:trHeight w:val="394"/>
          <w:jc w:val="center"/>
        </w:trPr>
        <w:tc>
          <w:tcPr>
            <w:tcW w:w="4574" w:type="dxa"/>
            <w:noWrap/>
            <w:vAlign w:val="center"/>
            <w:hideMark/>
          </w:tcPr>
          <w:p w14:paraId="36A652BD" w14:textId="77777777" w:rsidR="005A2E6E" w:rsidRPr="005A2E6E" w:rsidRDefault="005A2E6E" w:rsidP="005A2E6E">
            <w:pPr>
              <w:spacing w:line="240" w:lineRule="auto"/>
              <w:jc w:val="center"/>
              <w:rPr>
                <w:rFonts w:ascii="Minion Pro" w:hAnsi="Minion Pro"/>
                <w:iCs/>
                <w:color w:val="000000"/>
                <w:sz w:val="22"/>
                <w:szCs w:val="22"/>
              </w:rPr>
            </w:pPr>
            <w:r w:rsidRPr="005A2E6E">
              <w:rPr>
                <w:rFonts w:ascii="Minion Pro" w:hAnsi="Minion Pro"/>
                <w:iCs/>
                <w:color w:val="000000"/>
                <w:sz w:val="22"/>
                <w:szCs w:val="22"/>
              </w:rPr>
              <w:t>80% ≤ taux &lt; 100%</w:t>
            </w:r>
          </w:p>
        </w:tc>
        <w:tc>
          <w:tcPr>
            <w:tcW w:w="4574" w:type="dxa"/>
            <w:noWrap/>
            <w:vAlign w:val="center"/>
            <w:hideMark/>
          </w:tcPr>
          <w:p w14:paraId="73F1A9D6" w14:textId="77777777" w:rsidR="005A2E6E" w:rsidRPr="005A2E6E" w:rsidRDefault="005A2E6E" w:rsidP="005A2E6E">
            <w:pPr>
              <w:spacing w:line="240" w:lineRule="auto"/>
              <w:jc w:val="center"/>
              <w:rPr>
                <w:rFonts w:ascii="Minion Pro" w:hAnsi="Minion Pro"/>
                <w:iCs/>
                <w:sz w:val="22"/>
                <w:szCs w:val="22"/>
              </w:rPr>
            </w:pPr>
            <w:r w:rsidRPr="005A2E6E">
              <w:rPr>
                <w:rFonts w:ascii="Minion Pro" w:hAnsi="Minion Pro"/>
                <w:iCs/>
                <w:sz w:val="22"/>
                <w:szCs w:val="22"/>
              </w:rPr>
              <w:t>Supérieure (S)</w:t>
            </w:r>
          </w:p>
        </w:tc>
      </w:tr>
      <w:tr w:rsidR="005A2E6E" w:rsidRPr="005A2E6E" w14:paraId="45AE812D" w14:textId="77777777" w:rsidTr="00C623E6">
        <w:trPr>
          <w:trHeight w:val="394"/>
          <w:jc w:val="center"/>
        </w:trPr>
        <w:tc>
          <w:tcPr>
            <w:tcW w:w="4574" w:type="dxa"/>
            <w:noWrap/>
            <w:vAlign w:val="center"/>
            <w:hideMark/>
          </w:tcPr>
          <w:p w14:paraId="31E152F5" w14:textId="77777777" w:rsidR="005A2E6E" w:rsidRPr="005A2E6E" w:rsidRDefault="005A2E6E" w:rsidP="005A2E6E">
            <w:pPr>
              <w:spacing w:line="240" w:lineRule="auto"/>
              <w:jc w:val="center"/>
              <w:rPr>
                <w:rFonts w:ascii="Minion Pro" w:hAnsi="Minion Pro"/>
                <w:iCs/>
                <w:color w:val="000000"/>
                <w:sz w:val="22"/>
                <w:szCs w:val="22"/>
              </w:rPr>
            </w:pPr>
            <w:r w:rsidRPr="005A2E6E">
              <w:rPr>
                <w:rFonts w:ascii="Minion Pro" w:hAnsi="Minion Pro"/>
                <w:iCs/>
                <w:color w:val="000000"/>
                <w:sz w:val="22"/>
                <w:szCs w:val="22"/>
              </w:rPr>
              <w:t>70% ≤ taux &lt; 80%</w:t>
            </w:r>
          </w:p>
        </w:tc>
        <w:tc>
          <w:tcPr>
            <w:tcW w:w="4574" w:type="dxa"/>
            <w:noWrap/>
            <w:vAlign w:val="center"/>
            <w:hideMark/>
          </w:tcPr>
          <w:p w14:paraId="09F63727" w14:textId="77777777" w:rsidR="005A2E6E" w:rsidRPr="005A2E6E" w:rsidRDefault="005A2E6E" w:rsidP="005A2E6E">
            <w:pPr>
              <w:spacing w:line="240" w:lineRule="auto"/>
              <w:jc w:val="center"/>
              <w:rPr>
                <w:rFonts w:ascii="Minion Pro" w:hAnsi="Minion Pro"/>
                <w:iCs/>
                <w:sz w:val="22"/>
                <w:szCs w:val="22"/>
              </w:rPr>
            </w:pPr>
            <w:r w:rsidRPr="005A2E6E">
              <w:rPr>
                <w:rFonts w:ascii="Minion Pro" w:hAnsi="Minion Pro"/>
                <w:iCs/>
                <w:sz w:val="22"/>
                <w:szCs w:val="22"/>
              </w:rPr>
              <w:t>Bon (B)</w:t>
            </w:r>
          </w:p>
        </w:tc>
      </w:tr>
      <w:tr w:rsidR="005A2E6E" w:rsidRPr="005A2E6E" w14:paraId="773F3477" w14:textId="77777777" w:rsidTr="00C623E6">
        <w:trPr>
          <w:trHeight w:val="394"/>
          <w:jc w:val="center"/>
        </w:trPr>
        <w:tc>
          <w:tcPr>
            <w:tcW w:w="4574" w:type="dxa"/>
            <w:noWrap/>
            <w:vAlign w:val="center"/>
            <w:hideMark/>
          </w:tcPr>
          <w:p w14:paraId="529E630E" w14:textId="77777777" w:rsidR="005A2E6E" w:rsidRPr="005A2E6E" w:rsidRDefault="005A2E6E" w:rsidP="005A2E6E">
            <w:pPr>
              <w:spacing w:line="240" w:lineRule="auto"/>
              <w:jc w:val="center"/>
              <w:rPr>
                <w:rFonts w:ascii="Minion Pro" w:hAnsi="Minion Pro"/>
                <w:iCs/>
                <w:color w:val="000000"/>
                <w:sz w:val="22"/>
                <w:szCs w:val="22"/>
              </w:rPr>
            </w:pPr>
            <w:r w:rsidRPr="005A2E6E">
              <w:rPr>
                <w:rFonts w:ascii="Minion Pro" w:hAnsi="Minion Pro"/>
                <w:iCs/>
                <w:color w:val="000000"/>
                <w:sz w:val="22"/>
                <w:szCs w:val="22"/>
              </w:rPr>
              <w:t>50% ≤ taux &lt; 70%</w:t>
            </w:r>
          </w:p>
        </w:tc>
        <w:tc>
          <w:tcPr>
            <w:tcW w:w="4574" w:type="dxa"/>
            <w:noWrap/>
            <w:vAlign w:val="center"/>
            <w:hideMark/>
          </w:tcPr>
          <w:p w14:paraId="5102E605" w14:textId="77777777" w:rsidR="005A2E6E" w:rsidRPr="005A2E6E" w:rsidRDefault="005A2E6E" w:rsidP="005A2E6E">
            <w:pPr>
              <w:spacing w:line="240" w:lineRule="auto"/>
              <w:jc w:val="center"/>
              <w:rPr>
                <w:rFonts w:ascii="Minion Pro" w:hAnsi="Minion Pro"/>
                <w:iCs/>
                <w:sz w:val="22"/>
                <w:szCs w:val="22"/>
              </w:rPr>
            </w:pPr>
            <w:r w:rsidRPr="005A2E6E">
              <w:rPr>
                <w:rFonts w:ascii="Minion Pro" w:hAnsi="Minion Pro"/>
                <w:iCs/>
                <w:sz w:val="22"/>
                <w:szCs w:val="22"/>
              </w:rPr>
              <w:t>Progression (P)</w:t>
            </w:r>
          </w:p>
        </w:tc>
      </w:tr>
      <w:tr w:rsidR="005A2E6E" w:rsidRPr="005A2E6E" w14:paraId="488E8CD8" w14:textId="77777777" w:rsidTr="00C623E6">
        <w:trPr>
          <w:trHeight w:val="394"/>
          <w:jc w:val="center"/>
        </w:trPr>
        <w:tc>
          <w:tcPr>
            <w:tcW w:w="4574" w:type="dxa"/>
            <w:noWrap/>
            <w:vAlign w:val="center"/>
            <w:hideMark/>
          </w:tcPr>
          <w:p w14:paraId="4ECCB396" w14:textId="77777777" w:rsidR="005A2E6E" w:rsidRPr="005A2E6E" w:rsidRDefault="005A2E6E" w:rsidP="005A2E6E">
            <w:pPr>
              <w:spacing w:line="240" w:lineRule="auto"/>
              <w:jc w:val="center"/>
              <w:rPr>
                <w:rFonts w:ascii="Minion Pro" w:hAnsi="Minion Pro"/>
                <w:iCs/>
                <w:color w:val="000000"/>
                <w:sz w:val="22"/>
                <w:szCs w:val="22"/>
              </w:rPr>
            </w:pPr>
            <w:proofErr w:type="gramStart"/>
            <w:r w:rsidRPr="005A2E6E">
              <w:rPr>
                <w:rFonts w:ascii="Minion Pro" w:hAnsi="Minion Pro"/>
                <w:iCs/>
                <w:color w:val="000000"/>
                <w:sz w:val="22"/>
                <w:szCs w:val="22"/>
              </w:rPr>
              <w:t>taux</w:t>
            </w:r>
            <w:proofErr w:type="gramEnd"/>
            <w:r w:rsidRPr="005A2E6E">
              <w:rPr>
                <w:rFonts w:ascii="Minion Pro" w:hAnsi="Minion Pro"/>
                <w:iCs/>
                <w:color w:val="000000"/>
                <w:sz w:val="22"/>
                <w:szCs w:val="22"/>
              </w:rPr>
              <w:t xml:space="preserve"> &lt; 50%</w:t>
            </w:r>
          </w:p>
        </w:tc>
        <w:tc>
          <w:tcPr>
            <w:tcW w:w="4574" w:type="dxa"/>
            <w:noWrap/>
            <w:vAlign w:val="center"/>
            <w:hideMark/>
          </w:tcPr>
          <w:p w14:paraId="44D8B46D" w14:textId="77777777" w:rsidR="005A2E6E" w:rsidRPr="005A2E6E" w:rsidRDefault="005A2E6E" w:rsidP="005A2E6E">
            <w:pPr>
              <w:spacing w:line="240" w:lineRule="auto"/>
              <w:jc w:val="center"/>
              <w:rPr>
                <w:rFonts w:ascii="Minion Pro" w:hAnsi="Minion Pro"/>
                <w:iCs/>
                <w:sz w:val="22"/>
                <w:szCs w:val="22"/>
              </w:rPr>
            </w:pPr>
            <w:r w:rsidRPr="005A2E6E">
              <w:rPr>
                <w:rFonts w:ascii="Minion Pro" w:hAnsi="Minion Pro"/>
                <w:iCs/>
                <w:sz w:val="22"/>
                <w:szCs w:val="22"/>
              </w:rPr>
              <w:t>Amélioration (A)</w:t>
            </w:r>
          </w:p>
        </w:tc>
      </w:tr>
    </w:tbl>
    <w:p w14:paraId="1FBE0CBE" w14:textId="77777777" w:rsidR="005A2E6E" w:rsidRPr="00560D72" w:rsidRDefault="005A2E6E" w:rsidP="005A2E6E">
      <w:pPr>
        <w:spacing w:line="360" w:lineRule="auto"/>
        <w:jc w:val="both"/>
        <w:rPr>
          <w:rFonts w:ascii="Minion Pro" w:hAnsi="Minion Pro"/>
          <w:i/>
        </w:rPr>
      </w:pPr>
    </w:p>
    <w:p w14:paraId="18C2B4AB" w14:textId="0D09FA92" w:rsidR="005A2E6E" w:rsidRDefault="005A2E6E" w:rsidP="005A2E6E">
      <w:pPr>
        <w:autoSpaceDE w:val="0"/>
        <w:autoSpaceDN w:val="0"/>
        <w:adjustRightInd w:val="0"/>
        <w:spacing w:line="240" w:lineRule="auto"/>
        <w:jc w:val="both"/>
        <w:rPr>
          <w:rFonts w:ascii="Minion Pro" w:hAnsi="Minion Pro"/>
          <w:iCs/>
          <w:sz w:val="22"/>
          <w:szCs w:val="22"/>
        </w:rPr>
      </w:pPr>
      <w:r w:rsidRPr="005A2E6E">
        <w:rPr>
          <w:rFonts w:ascii="Minion Pro" w:hAnsi="Minion Pro"/>
          <w:b/>
          <w:iCs/>
          <w:sz w:val="22"/>
          <w:szCs w:val="22"/>
        </w:rPr>
        <w:t xml:space="preserve">SUPERIEUR </w:t>
      </w:r>
      <w:r w:rsidRPr="005A2E6E">
        <w:rPr>
          <w:rFonts w:ascii="Minion Pro" w:hAnsi="Minion Pro"/>
          <w:iCs/>
          <w:sz w:val="22"/>
          <w:szCs w:val="22"/>
        </w:rPr>
        <w:t>: Maîtrise ; possède toutes les compétences nécessaires à la réalisation</w:t>
      </w:r>
      <w:r w:rsidR="00A97DE7">
        <w:rPr>
          <w:rFonts w:ascii="Minion Pro" w:hAnsi="Minion Pro"/>
          <w:iCs/>
          <w:sz w:val="22"/>
          <w:szCs w:val="22"/>
        </w:rPr>
        <w:t xml:space="preserve"> des CPN</w:t>
      </w:r>
      <w:r w:rsidRPr="005A2E6E">
        <w:rPr>
          <w:rFonts w:ascii="Minion Pro" w:hAnsi="Minion Pro"/>
          <w:iCs/>
          <w:sz w:val="22"/>
          <w:szCs w:val="22"/>
        </w:rPr>
        <w:t>, certain</w:t>
      </w:r>
      <w:r w:rsidR="00A97DE7">
        <w:rPr>
          <w:rFonts w:ascii="Minion Pro" w:hAnsi="Minion Pro"/>
          <w:iCs/>
          <w:sz w:val="22"/>
          <w:szCs w:val="22"/>
        </w:rPr>
        <w:t>e</w:t>
      </w:r>
      <w:r w:rsidRPr="005A2E6E">
        <w:rPr>
          <w:rFonts w:ascii="Minion Pro" w:hAnsi="Minion Pro"/>
          <w:iCs/>
          <w:sz w:val="22"/>
          <w:szCs w:val="22"/>
        </w:rPr>
        <w:t>s à un niveau supérieur à celui requis.</w:t>
      </w:r>
    </w:p>
    <w:p w14:paraId="0099B3EE" w14:textId="22B47191" w:rsidR="005A2E6E" w:rsidRDefault="005A2E6E" w:rsidP="005A2E6E">
      <w:pPr>
        <w:autoSpaceDE w:val="0"/>
        <w:autoSpaceDN w:val="0"/>
        <w:adjustRightInd w:val="0"/>
        <w:spacing w:line="240" w:lineRule="auto"/>
        <w:jc w:val="both"/>
        <w:rPr>
          <w:rFonts w:ascii="Minion Pro" w:hAnsi="Minion Pro"/>
          <w:iCs/>
          <w:sz w:val="22"/>
          <w:szCs w:val="22"/>
        </w:rPr>
      </w:pPr>
      <w:r w:rsidRPr="005A2E6E">
        <w:rPr>
          <w:rFonts w:ascii="Minion Pro" w:hAnsi="Minion Pro"/>
          <w:b/>
          <w:iCs/>
          <w:sz w:val="22"/>
          <w:szCs w:val="22"/>
        </w:rPr>
        <w:t xml:space="preserve">BON </w:t>
      </w:r>
      <w:r w:rsidRPr="005A2E6E">
        <w:rPr>
          <w:rFonts w:ascii="Minion Pro" w:hAnsi="Minion Pro"/>
          <w:iCs/>
          <w:sz w:val="22"/>
          <w:szCs w:val="22"/>
        </w:rPr>
        <w:t xml:space="preserve">: Maîtrise son poste pour la réalisation </w:t>
      </w:r>
      <w:r w:rsidR="00A97DE7">
        <w:rPr>
          <w:rFonts w:ascii="Minion Pro" w:hAnsi="Minion Pro"/>
          <w:iCs/>
          <w:sz w:val="22"/>
          <w:szCs w:val="22"/>
        </w:rPr>
        <w:t>des CPN</w:t>
      </w:r>
      <w:r w:rsidRPr="005A2E6E">
        <w:rPr>
          <w:rFonts w:ascii="Minion Pro" w:hAnsi="Minion Pro"/>
          <w:iCs/>
          <w:sz w:val="22"/>
          <w:szCs w:val="22"/>
        </w:rPr>
        <w:t>. Possède la plupart des compétences nécessaires, ne les dépasse pas.</w:t>
      </w:r>
    </w:p>
    <w:p w14:paraId="23986098" w14:textId="4422D589" w:rsidR="005A2E6E" w:rsidRDefault="005A2E6E" w:rsidP="005A2E6E">
      <w:pPr>
        <w:autoSpaceDE w:val="0"/>
        <w:autoSpaceDN w:val="0"/>
        <w:adjustRightInd w:val="0"/>
        <w:spacing w:line="240" w:lineRule="auto"/>
        <w:jc w:val="both"/>
        <w:rPr>
          <w:rFonts w:ascii="Minion Pro" w:hAnsi="Minion Pro"/>
          <w:iCs/>
          <w:sz w:val="22"/>
          <w:szCs w:val="22"/>
        </w:rPr>
      </w:pPr>
      <w:r w:rsidRPr="005A2E6E">
        <w:rPr>
          <w:rFonts w:ascii="Minion Pro" w:hAnsi="Minion Pro"/>
          <w:b/>
          <w:iCs/>
          <w:sz w:val="22"/>
          <w:szCs w:val="22"/>
        </w:rPr>
        <w:t xml:space="preserve">PROGRESSION </w:t>
      </w:r>
      <w:r w:rsidRPr="005A2E6E">
        <w:rPr>
          <w:rFonts w:ascii="Minion Pro" w:hAnsi="Minion Pro"/>
          <w:iCs/>
          <w:sz w:val="22"/>
          <w:szCs w:val="22"/>
        </w:rPr>
        <w:t xml:space="preserve">: A besoin de conseils et d'encadrement pour réaliser les </w:t>
      </w:r>
      <w:r w:rsidR="00A97DE7">
        <w:rPr>
          <w:rFonts w:ascii="Minion Pro" w:hAnsi="Minion Pro"/>
          <w:iCs/>
          <w:sz w:val="22"/>
          <w:szCs w:val="22"/>
        </w:rPr>
        <w:t xml:space="preserve">CPN. </w:t>
      </w:r>
      <w:r w:rsidRPr="005A2E6E">
        <w:rPr>
          <w:rFonts w:ascii="Minion Pro" w:hAnsi="Minion Pro"/>
          <w:iCs/>
          <w:sz w:val="22"/>
          <w:szCs w:val="22"/>
        </w:rPr>
        <w:t>Doit faire progresser certaines compétences.</w:t>
      </w:r>
    </w:p>
    <w:p w14:paraId="4A709922" w14:textId="2AD24B9D" w:rsidR="00421C3E" w:rsidRPr="00421C3E" w:rsidRDefault="005A2E6E" w:rsidP="00775016">
      <w:pPr>
        <w:autoSpaceDE w:val="0"/>
        <w:autoSpaceDN w:val="0"/>
        <w:adjustRightInd w:val="0"/>
        <w:spacing w:line="240" w:lineRule="auto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5A2E6E">
        <w:rPr>
          <w:rFonts w:ascii="Minion Pro" w:hAnsi="Minion Pro"/>
          <w:b/>
          <w:iCs/>
          <w:sz w:val="22"/>
          <w:szCs w:val="22"/>
        </w:rPr>
        <w:t xml:space="preserve">AMELIORATION </w:t>
      </w:r>
      <w:r w:rsidRPr="005A2E6E">
        <w:rPr>
          <w:rFonts w:ascii="Minion Pro" w:hAnsi="Minion Pro"/>
          <w:iCs/>
          <w:sz w:val="22"/>
          <w:szCs w:val="22"/>
        </w:rPr>
        <w:t>: Nécessite un encadrement important pour réaliser</w:t>
      </w:r>
      <w:r w:rsidR="00A97DE7">
        <w:rPr>
          <w:rFonts w:ascii="Minion Pro" w:hAnsi="Minion Pro"/>
          <w:iCs/>
          <w:sz w:val="22"/>
          <w:szCs w:val="22"/>
        </w:rPr>
        <w:t xml:space="preserve"> les CPN.</w:t>
      </w:r>
      <w:r w:rsidRPr="005A2E6E">
        <w:rPr>
          <w:rFonts w:ascii="Minion Pro" w:hAnsi="Minion Pro"/>
          <w:iCs/>
          <w:sz w:val="22"/>
          <w:szCs w:val="22"/>
        </w:rPr>
        <w:t xml:space="preserve"> Doit améliorer la plupart des compétences exigées pour tenir ce poste.</w:t>
      </w:r>
      <w:r w:rsidR="00C61526">
        <w:rPr>
          <w:rFonts w:ascii="Minion Pro" w:hAnsi="Minion Pro"/>
          <w:iCs/>
          <w:sz w:val="22"/>
          <w:szCs w:val="22"/>
        </w:rPr>
        <w:t xml:space="preserve"> Dans ce cas, la SF est suspendue du Programme NEST temporairement. Elle doit être accompagnée par le médecin responsable du service de gynécologique pour une remise à niveau pendant 2 mois à raison d’une matinée de consultation par semaine. Elle est ensuite réévaluée pour déterminer si elle peut être réintégrée dans le programme.</w:t>
      </w:r>
    </w:p>
    <w:sectPr w:rsidR="00421C3E" w:rsidRPr="00421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8DF5" w14:textId="77777777" w:rsidR="004A5C40" w:rsidRDefault="004A5C40" w:rsidP="002D4B36">
      <w:pPr>
        <w:spacing w:after="0" w:line="240" w:lineRule="auto"/>
      </w:pPr>
      <w:r>
        <w:separator/>
      </w:r>
    </w:p>
  </w:endnote>
  <w:endnote w:type="continuationSeparator" w:id="0">
    <w:p w14:paraId="4FDDA0E9" w14:textId="77777777" w:rsidR="004A5C40" w:rsidRDefault="004A5C40" w:rsidP="002D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998A" w14:textId="77777777" w:rsidR="004A5C40" w:rsidRDefault="004A5C40" w:rsidP="002D4B36">
      <w:pPr>
        <w:spacing w:after="0" w:line="240" w:lineRule="auto"/>
      </w:pPr>
      <w:r>
        <w:separator/>
      </w:r>
    </w:p>
  </w:footnote>
  <w:footnote w:type="continuationSeparator" w:id="0">
    <w:p w14:paraId="590E3C7C" w14:textId="77777777" w:rsidR="004A5C40" w:rsidRDefault="004A5C40" w:rsidP="002D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3B94" w14:textId="6B211846" w:rsidR="002D4B36" w:rsidRPr="004E7A0E" w:rsidRDefault="002D4B36" w:rsidP="004E7A0E">
    <w:pPr>
      <w:pStyle w:val="En-tte"/>
      <w:jc w:val="right"/>
      <w:rPr>
        <w:rFonts w:ascii="Minion Pro" w:hAnsi="Minion Pro"/>
        <w:sz w:val="16"/>
        <w:szCs w:val="16"/>
      </w:rPr>
    </w:pPr>
    <w:r w:rsidRPr="004E7A0E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227978E" wp14:editId="6E3E7B4D">
          <wp:simplePos x="0" y="0"/>
          <wp:positionH relativeFrom="margin">
            <wp:align>left</wp:align>
          </wp:positionH>
          <wp:positionV relativeFrom="paragraph">
            <wp:posOffset>-48099</wp:posOffset>
          </wp:positionV>
          <wp:extent cx="1705213" cy="495369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A0E" w:rsidRPr="004E7A0E">
      <w:rPr>
        <w:rFonts w:ascii="Minion Pro" w:hAnsi="Minion Pro"/>
        <w:sz w:val="16"/>
        <w:szCs w:val="16"/>
      </w:rPr>
      <w:t>PO05-MO0007</w:t>
    </w:r>
  </w:p>
  <w:p w14:paraId="6FAD34CE" w14:textId="5643B659" w:rsidR="004E7A0E" w:rsidRPr="004E7A0E" w:rsidRDefault="004E7A0E" w:rsidP="004E7A0E">
    <w:pPr>
      <w:pStyle w:val="En-tte"/>
      <w:jc w:val="right"/>
      <w:rPr>
        <w:rFonts w:ascii="Minion Pro" w:hAnsi="Minion Pro"/>
        <w:sz w:val="16"/>
        <w:szCs w:val="16"/>
      </w:rPr>
    </w:pPr>
    <w:r w:rsidRPr="004E7A0E">
      <w:rPr>
        <w:rFonts w:ascii="Minion Pro" w:hAnsi="Minion Pro"/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402E"/>
    <w:multiLevelType w:val="multilevel"/>
    <w:tmpl w:val="BEA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6B2980"/>
    <w:multiLevelType w:val="hybridMultilevel"/>
    <w:tmpl w:val="A75640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9830">
    <w:abstractNumId w:val="0"/>
  </w:num>
  <w:num w:numId="2" w16cid:durableId="79032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36"/>
    <w:rsid w:val="00027DA6"/>
    <w:rsid w:val="00031D89"/>
    <w:rsid w:val="0009540D"/>
    <w:rsid w:val="000B5386"/>
    <w:rsid w:val="00107FDD"/>
    <w:rsid w:val="001237F8"/>
    <w:rsid w:val="00147C81"/>
    <w:rsid w:val="001527FB"/>
    <w:rsid w:val="001D556E"/>
    <w:rsid w:val="00242F08"/>
    <w:rsid w:val="002D4B36"/>
    <w:rsid w:val="00334974"/>
    <w:rsid w:val="003619D3"/>
    <w:rsid w:val="00384B09"/>
    <w:rsid w:val="00387895"/>
    <w:rsid w:val="00397536"/>
    <w:rsid w:val="003A0C49"/>
    <w:rsid w:val="003D4EF3"/>
    <w:rsid w:val="00421C3E"/>
    <w:rsid w:val="00451796"/>
    <w:rsid w:val="00473FFE"/>
    <w:rsid w:val="004A5C40"/>
    <w:rsid w:val="004B5ED3"/>
    <w:rsid w:val="004E7A0E"/>
    <w:rsid w:val="00501BB2"/>
    <w:rsid w:val="0053669C"/>
    <w:rsid w:val="005A0DE9"/>
    <w:rsid w:val="005A2E6E"/>
    <w:rsid w:val="005D37CF"/>
    <w:rsid w:val="005D735C"/>
    <w:rsid w:val="005F2C9D"/>
    <w:rsid w:val="00653147"/>
    <w:rsid w:val="00667F77"/>
    <w:rsid w:val="006900D7"/>
    <w:rsid w:val="006C11F1"/>
    <w:rsid w:val="006E6692"/>
    <w:rsid w:val="00706905"/>
    <w:rsid w:val="00775016"/>
    <w:rsid w:val="007C68D6"/>
    <w:rsid w:val="007E6EAA"/>
    <w:rsid w:val="00822302"/>
    <w:rsid w:val="00824413"/>
    <w:rsid w:val="008446FE"/>
    <w:rsid w:val="00865A03"/>
    <w:rsid w:val="00885531"/>
    <w:rsid w:val="008E4072"/>
    <w:rsid w:val="00922B91"/>
    <w:rsid w:val="0093486D"/>
    <w:rsid w:val="0096378F"/>
    <w:rsid w:val="009A49FE"/>
    <w:rsid w:val="009A747D"/>
    <w:rsid w:val="009B02D1"/>
    <w:rsid w:val="009D776C"/>
    <w:rsid w:val="00A9566C"/>
    <w:rsid w:val="00A97529"/>
    <w:rsid w:val="00A97DE7"/>
    <w:rsid w:val="00AA36C3"/>
    <w:rsid w:val="00AD1FFD"/>
    <w:rsid w:val="00B877FE"/>
    <w:rsid w:val="00B906D0"/>
    <w:rsid w:val="00BC629F"/>
    <w:rsid w:val="00C011EB"/>
    <w:rsid w:val="00C61526"/>
    <w:rsid w:val="00C623E6"/>
    <w:rsid w:val="00D37AAD"/>
    <w:rsid w:val="00D858E0"/>
    <w:rsid w:val="00DD1F18"/>
    <w:rsid w:val="00E31D95"/>
    <w:rsid w:val="00EE64B1"/>
    <w:rsid w:val="00EF5F5A"/>
    <w:rsid w:val="00F818E9"/>
    <w:rsid w:val="00F9436C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8B523"/>
  <w15:chartTrackingRefBased/>
  <w15:docId w15:val="{075B3FBE-28C1-43AA-AA9D-D804EB3A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36"/>
    <w:pPr>
      <w:widowControl w:val="0"/>
      <w:suppressAutoHyphens/>
      <w:spacing w:line="25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5A2E6E"/>
    <w:pPr>
      <w:keepNext/>
      <w:keepLines/>
      <w:spacing w:before="240" w:after="0" w:line="240" w:lineRule="auto"/>
      <w:outlineLvl w:val="0"/>
    </w:pPr>
    <w:rPr>
      <w:rFonts w:ascii="Minion Pro" w:eastAsiaTheme="majorEastAsia" w:hAnsi="Minion Pro" w:cstheme="majorBidi"/>
      <w:color w:val="7F508B" w:themeColor="accent4"/>
      <w:kern w:val="2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B36"/>
  </w:style>
  <w:style w:type="paragraph" w:styleId="Pieddepage">
    <w:name w:val="footer"/>
    <w:basedOn w:val="Normal"/>
    <w:link w:val="Pieddepag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B36"/>
  </w:style>
  <w:style w:type="paragraph" w:customStyle="1" w:styleId="Titreprincipal">
    <w:name w:val="Titre principal"/>
    <w:basedOn w:val="Normal"/>
    <w:rsid w:val="002D4B36"/>
    <w:pPr>
      <w:keepNext/>
      <w:pBdr>
        <w:left w:val="single" w:sz="4" w:space="0" w:color="8064A2"/>
        <w:right w:val="single" w:sz="4" w:space="0" w:color="8064A2"/>
      </w:pBdr>
      <w:spacing w:before="120" w:after="0" w:line="100" w:lineRule="atLeast"/>
      <w:contextualSpacing/>
      <w:jc w:val="center"/>
    </w:pPr>
    <w:rPr>
      <w:rFonts w:ascii="Arial" w:eastAsia="Microsoft YaHei" w:hAnsi="Arial"/>
      <w:color w:val="9FDF5F"/>
      <w:spacing w:val="-10"/>
      <w:sz w:val="84"/>
      <w:szCs w:val="84"/>
      <w:lang w:eastAsia="fr-FR"/>
    </w:rPr>
  </w:style>
  <w:style w:type="character" w:customStyle="1" w:styleId="fontstyle01">
    <w:name w:val="fontstyle01"/>
    <w:basedOn w:val="Policepardfaut"/>
    <w:rsid w:val="0082441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5A2E6E"/>
    <w:rPr>
      <w:rFonts w:ascii="Minion Pro" w:eastAsiaTheme="majorEastAsia" w:hAnsi="Minion Pro" w:cstheme="majorBidi"/>
      <w:color w:val="7F508B" w:themeColor="accent4"/>
      <w:kern w:val="2"/>
      <w:sz w:val="26"/>
      <w:szCs w:val="26"/>
      <w:lang w:eastAsia="fr-FR" w:bidi="hi-IN"/>
    </w:rPr>
  </w:style>
  <w:style w:type="table" w:styleId="TableauGrille1Clair-Accentuation4">
    <w:name w:val="Grid Table 1 Light Accent 4"/>
    <w:basedOn w:val="TableauNormal"/>
    <w:uiPriority w:val="46"/>
    <w:rsid w:val="005A2E6E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5A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1C3E"/>
    <w:pPr>
      <w:ind w:left="720"/>
      <w:contextualSpacing/>
    </w:pPr>
    <w:rPr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F818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18E9"/>
    <w:pPr>
      <w:spacing w:line="240" w:lineRule="auto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F818E9"/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18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18E9"/>
    <w:rPr>
      <w:rFonts w:ascii="Times New Roman" w:eastAsia="SimSun" w:hAnsi="Times New Roman" w:cs="Mangal"/>
      <w:b/>
      <w:bCs/>
      <w:color w:val="00000A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47</cp:revision>
  <cp:lastPrinted>2022-10-12T08:04:00Z</cp:lastPrinted>
  <dcterms:created xsi:type="dcterms:W3CDTF">2022-09-28T07:22:00Z</dcterms:created>
  <dcterms:modified xsi:type="dcterms:W3CDTF">2022-10-14T12:24:00Z</dcterms:modified>
</cp:coreProperties>
</file>