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</w:p>
    <w:p w:rsidR="00807F44" w:rsidRPr="00807F44" w:rsidRDefault="00807F44" w:rsidP="00807F44">
      <w:pPr>
        <w:pBdr>
          <w:left w:val="single" w:sz="4" w:space="4" w:color="8064A2"/>
          <w:right w:val="single" w:sz="4" w:space="4" w:color="8064A2"/>
        </w:pBdr>
        <w:spacing w:before="120" w:after="120"/>
        <w:ind w:firstLine="284"/>
        <w:jc w:val="center"/>
        <w:rPr>
          <w:rFonts w:ascii="Minion Pro" w:eastAsia="MS Gothic" w:hAnsi="Minion Pro" w:cs="Times New Roman"/>
          <w:color w:val="9FDF5F"/>
          <w:spacing w:val="-10"/>
          <w:kern w:val="28"/>
          <w:sz w:val="72"/>
          <w:szCs w:val="84"/>
          <w:lang w:eastAsia="fr-FR"/>
        </w:rPr>
      </w:pPr>
      <w:r w:rsidRPr="00807F44">
        <w:rPr>
          <w:rFonts w:ascii="Minion Pro" w:eastAsia="MS Gothic" w:hAnsi="Minion Pro" w:cs="Times New Roman"/>
          <w:color w:val="9FDF5F"/>
          <w:spacing w:val="-10"/>
          <w:kern w:val="28"/>
          <w:sz w:val="72"/>
          <w:szCs w:val="84"/>
          <w:lang w:eastAsia="fr-FR"/>
        </w:rPr>
        <w:t>Gestion administrative de l’hospitalisation</w:t>
      </w:r>
    </w:p>
    <w:p w:rsidR="00807F44" w:rsidRPr="00807F44" w:rsidRDefault="00807F44" w:rsidP="00807F44">
      <w:pPr>
        <w:keepNext/>
        <w:keepLines/>
        <w:spacing w:before="40" w:after="120" w:line="240" w:lineRule="auto"/>
        <w:ind w:firstLine="284"/>
        <w:jc w:val="center"/>
        <w:outlineLvl w:val="1"/>
        <w:rPr>
          <w:rFonts w:ascii="Minion Pro" w:eastAsia="MS Gothic" w:hAnsi="Minion Pro" w:cs="Times New Roman"/>
          <w:bCs/>
          <w:i/>
          <w:color w:val="B2A1C7"/>
          <w:sz w:val="26"/>
          <w:szCs w:val="26"/>
          <w:lang w:eastAsia="fr-FR"/>
        </w:rPr>
      </w:pPr>
      <w:r w:rsidRPr="00807F44">
        <w:rPr>
          <w:rFonts w:ascii="Minion Pro" w:eastAsia="MS Gothic" w:hAnsi="Minion Pro" w:cs="Times New Roman"/>
          <w:bCs/>
          <w:i/>
          <w:color w:val="B2A1C7"/>
          <w:sz w:val="26"/>
          <w:szCs w:val="26"/>
          <w:lang w:eastAsia="fr-FR"/>
        </w:rPr>
        <w:t>De l’admission à la sortie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  <w:lang w:eastAsia="fr-FR"/>
        </w:rPr>
      </w:pP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  <w:lang w:eastAsia="fr-FR"/>
        </w:rPr>
      </w:pP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  <w:lang w:eastAsia="fr-FR"/>
        </w:rPr>
      </w:pPr>
    </w:p>
    <w:tbl>
      <w:tblPr>
        <w:tblStyle w:val="TableauGrille1Clair-Accentuation41"/>
        <w:tblW w:w="9923" w:type="dxa"/>
        <w:jc w:val="center"/>
        <w:tblLayout w:type="fixed"/>
        <w:tblLook w:val="0420" w:firstRow="1" w:lastRow="0" w:firstColumn="0" w:lastColumn="0" w:noHBand="0" w:noVBand="1"/>
      </w:tblPr>
      <w:tblGrid>
        <w:gridCol w:w="2719"/>
        <w:gridCol w:w="2719"/>
        <w:gridCol w:w="2719"/>
        <w:gridCol w:w="1766"/>
      </w:tblGrid>
      <w:tr w:rsidR="00807F44" w:rsidRPr="00807F44" w:rsidTr="00BD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1"/>
          <w:jc w:val="center"/>
        </w:trPr>
        <w:tc>
          <w:tcPr>
            <w:tcW w:w="2719" w:type="dxa"/>
            <w:tcBorders>
              <w:top w:val="nil"/>
              <w:left w:val="nil"/>
            </w:tcBorders>
            <w:vAlign w:val="center"/>
            <w:hideMark/>
          </w:tcPr>
          <w:p w:rsidR="00807F44" w:rsidRPr="00807F44" w:rsidRDefault="00807F44" w:rsidP="00EB6A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Date : </w:t>
            </w:r>
            <w:r w:rsidR="0081258F">
              <w:rPr>
                <w:rFonts w:ascii="Minion Pro" w:eastAsia="Calibri" w:hAnsi="Minion Pro" w:cs="Times New Roman"/>
              </w:rPr>
              <w:t>25</w:t>
            </w:r>
            <w:r w:rsidR="00EB6A73">
              <w:rPr>
                <w:rFonts w:ascii="Minion Pro" w:eastAsia="Calibri" w:hAnsi="Minion Pro" w:cs="Times New Roman"/>
              </w:rPr>
              <w:t>/06/2019</w:t>
            </w:r>
          </w:p>
        </w:tc>
        <w:tc>
          <w:tcPr>
            <w:tcW w:w="2719" w:type="dxa"/>
            <w:vAlign w:val="center"/>
            <w:hideMark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Fonction</w:t>
            </w:r>
          </w:p>
        </w:tc>
        <w:tc>
          <w:tcPr>
            <w:tcW w:w="2719" w:type="dxa"/>
            <w:vAlign w:val="center"/>
            <w:hideMark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Nom</w:t>
            </w:r>
          </w:p>
        </w:tc>
        <w:tc>
          <w:tcPr>
            <w:tcW w:w="1766" w:type="dxa"/>
            <w:vAlign w:val="center"/>
            <w:hideMark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Visa</w:t>
            </w:r>
          </w:p>
        </w:tc>
      </w:tr>
      <w:tr w:rsidR="00807F44" w:rsidRPr="00807F44" w:rsidTr="00BD1FDA">
        <w:trPr>
          <w:trHeight w:val="661"/>
          <w:jc w:val="center"/>
        </w:trPr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Emetteur</w:t>
            </w:r>
          </w:p>
        </w:tc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Chargé(e) des hospitalisations</w:t>
            </w:r>
          </w:p>
        </w:tc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Clémence Sagna</w:t>
            </w:r>
          </w:p>
        </w:tc>
        <w:tc>
          <w:tcPr>
            <w:tcW w:w="1766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BD1FDA">
        <w:trPr>
          <w:trHeight w:val="661"/>
          <w:jc w:val="center"/>
        </w:trPr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Vérificateur</w:t>
            </w:r>
          </w:p>
        </w:tc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Stagiaire</w:t>
            </w:r>
          </w:p>
        </w:tc>
        <w:tc>
          <w:tcPr>
            <w:tcW w:w="2719" w:type="dxa"/>
            <w:vAlign w:val="center"/>
          </w:tcPr>
          <w:p w:rsidR="00807F44" w:rsidRPr="00807F44" w:rsidRDefault="00EB6A73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Paul Maurice</w:t>
            </w:r>
          </w:p>
        </w:tc>
        <w:tc>
          <w:tcPr>
            <w:tcW w:w="1766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BD1FDA">
        <w:trPr>
          <w:trHeight w:val="661"/>
          <w:jc w:val="center"/>
        </w:trPr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Revue et approbation</w:t>
            </w:r>
          </w:p>
        </w:tc>
        <w:tc>
          <w:tcPr>
            <w:tcW w:w="2719" w:type="dxa"/>
            <w:vAlign w:val="center"/>
          </w:tcPr>
          <w:p w:rsidR="00807F44" w:rsidRPr="00807F44" w:rsidRDefault="001935BA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Directrice </w:t>
            </w:r>
            <w:r w:rsidR="00807F44" w:rsidRPr="00807F44">
              <w:rPr>
                <w:rFonts w:ascii="Minion Pro" w:eastAsia="Calibri" w:hAnsi="Minion Pro" w:cs="Times New Roman"/>
              </w:rPr>
              <w:t>des opérations</w:t>
            </w:r>
          </w:p>
        </w:tc>
        <w:tc>
          <w:tcPr>
            <w:tcW w:w="2719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Lauriane Le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Flour</w:t>
            </w:r>
            <w:proofErr w:type="spellEnd"/>
          </w:p>
        </w:tc>
        <w:tc>
          <w:tcPr>
            <w:tcW w:w="1766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</w:p>
        </w:tc>
      </w:tr>
    </w:tbl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br w:type="page"/>
      </w:r>
      <w:bookmarkStart w:id="0" w:name="_Hlk488673061"/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lastRenderedPageBreak/>
        <w:t>Objet de la procédure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Cette procédure a pour objet de décrire les dispositions de la gestion administrative de l’hospitalisation. Elle vise à assurer une organisation administrative systématique, rapide et efficace de l’hospitalisation des patients.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 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Les dispositions s'appliquent au service hospitalisations de la Clinique NEST.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 pilote doit assurer l’application de cette procédure.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Norme ISO 9001 V 2015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Comment accéder à cette procédure</w:t>
      </w:r>
    </w:p>
    <w:p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Accueil Hospitalisations</w:t>
      </w:r>
    </w:p>
    <w:p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tbl>
      <w:tblPr>
        <w:tblStyle w:val="TableauGrille1Clair-Accentuation42"/>
        <w:tblW w:w="9351" w:type="dxa"/>
        <w:jc w:val="center"/>
        <w:tblLook w:val="04A0" w:firstRow="1" w:lastRow="0" w:firstColumn="1" w:lastColumn="0" w:noHBand="0" w:noVBand="1"/>
      </w:tblPr>
      <w:tblGrid>
        <w:gridCol w:w="1738"/>
        <w:gridCol w:w="4920"/>
        <w:gridCol w:w="2693"/>
      </w:tblGrid>
      <w:tr w:rsidR="00807F44" w:rsidRPr="00807F44" w:rsidTr="00790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07F44" w:rsidRPr="00807F44" w:rsidTr="00790CF5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Se présente spontanément chez Nest, se présente en consultation avec une sage-femme ou un médecin dans les structures Nest, ou bien est référé par un médecin externe.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médecin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En cas d’urgence, lève l’urgence. 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médecin, transmet le patient au médecin traitant (ou de garde si on ne peut attendre le médecin traitant).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Médecin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Prend la décision avec le patient d’une hospitalisation. </w:t>
            </w:r>
          </w:p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Prévient l’accueil hospitalisations.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1863D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1863D5" w:rsidRPr="001D646B" w:rsidRDefault="001863D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hAnsi="Minion Pro"/>
              </w:rPr>
              <w:t>Sage-femme</w:t>
            </w:r>
          </w:p>
        </w:tc>
        <w:tc>
          <w:tcPr>
            <w:tcW w:w="4920" w:type="dxa"/>
            <w:vAlign w:val="center"/>
          </w:tcPr>
          <w:p w:rsidR="001863D5" w:rsidRPr="001D646B" w:rsidRDefault="001863D5" w:rsidP="001863D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eastAsia="Calibri" w:hAnsi="Minion Pro" w:cs="Times New Roman"/>
              </w:rPr>
              <w:t>Commence à compléter le dossier du dossier d’hospitalisation selon le mode opératoire dédié</w:t>
            </w:r>
          </w:p>
        </w:tc>
        <w:tc>
          <w:tcPr>
            <w:tcW w:w="2693" w:type="dxa"/>
            <w:vAlign w:val="center"/>
          </w:tcPr>
          <w:p w:rsidR="001863D5" w:rsidRPr="001863D5" w:rsidRDefault="001863D5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i/>
              </w:rPr>
            </w:pPr>
            <w:r>
              <w:rPr>
                <w:rFonts w:ascii="Minion Pro" w:eastAsia="Calibri" w:hAnsi="Minion Pro" w:cs="Times New Roman"/>
                <w:i/>
              </w:rPr>
              <w:t>PO04-MO07 Utilisation du dossier d’hospitalisation</w:t>
            </w:r>
          </w:p>
        </w:tc>
      </w:tr>
      <w:tr w:rsidR="00807F44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807F44" w:rsidRPr="00807F44" w:rsidRDefault="00790CF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="00807F44"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Donne au patient la pro forma associée à son hospitalisation éventuelle chez NEST et la lui fait signer. </w:t>
            </w:r>
          </w:p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l’hospitalisation est le jour même, garde la proforma, sinon donne l’exemplaire au patient et demande au patient de la ramener au moment de son entrée en hospitalisation.</w:t>
            </w:r>
          </w:p>
        </w:tc>
        <w:tc>
          <w:tcPr>
            <w:tcW w:w="2693" w:type="dxa"/>
            <w:vAlign w:val="center"/>
          </w:tcPr>
          <w:p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d’hospitalisation de mineurs, s’adresse au tuteur légal.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Rencontre le patient pour remplir la fiche d’admission.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S’il y a un accompagnant, c’est à lui de remplir la fiche d’admission.</w:t>
            </w:r>
          </w:p>
        </w:tc>
        <w:tc>
          <w:tcPr>
            <w:tcW w:w="2693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Le choix de la catégorie de la chambre se fait en remplissant la fiche d’admission.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Renseigne la base de données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eYONE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Paramédicaux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Vérifient la fonctionnalité de la chambre du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Voir support informant de vérification des chambres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Propose et remet au patient les télécommandes de sa chambre contre caution. 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 la présence et la validité de l’éventuelle IPM/Assurance du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Certains IPM nécessitent d’être appelés avant l’hospitalisation du patient.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patient n’a pas d’IPM ou d’Assurance, demande au patient une caution comprenant le prix d’une pharmacie approximative de 150 000 francs CFA et celui du nombre de jours d’hospitalisation estimé.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c’est une hospitalisation de jour, une caution de 100 000 francs CFA est demandée.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un reçu de caution et le donne au patient (bloc de reçu avec une feuille pour NEST et une feuille pour le patient).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la fiche d’admission s’il accepte toutes les conditions (caution, informations de la fiche).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Pour les actes du bloc et pour certains actes en salle d’accouchement (aspirations…), signe une fiche de consentement.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La signature sur la fiche d’admission vaut pour consentement sur les autres actes. 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lastRenderedPageBreak/>
              <w:t>Sage-femme ou Infirmière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Installe le patient dans sa chambre.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Paye la caution avant l’hospitalisation ou 2h après le début de l’hospitalisation.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Contacte l’éventuelle assurance ou IPM pour avoir la lettre de garantie (plafonds des chambres, plafonds de la facture, nombre nécessaire de jours d’hospitalisations, vu le diagnostic, selon leurs médecins).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Après réception de la lettre de garantie, rencontre à nouveau le patient pour l’informer de toutes les conditions de sa prise en charge.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Dans la chambre du patient</w:t>
            </w: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Facture le patient à la fin de l’hospitalisation.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Et lui remet le bon de sortie attestant son règlement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supérieur à celui de la caution, fait payer la différence au patient.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inférieur à celui de la caution, rembourse en espèces la différence. Fait signer une décharge (garde l’original et éventuellement donne une copie au patient).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:rsidTr="00790CF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bookmarkStart w:id="1" w:name="_GoBack" w:colFirst="0" w:colLast="0"/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920" w:type="dxa"/>
            <w:vAlign w:val="center"/>
          </w:tcPr>
          <w:p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chargé d’accueil, veille auprès de ses collègues à ce que tous les patients aient réglé leur quote-part ou leur facture à la sortie.</w:t>
            </w:r>
          </w:p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Vérifie que le patient dispose bien de son bon de sortie avant de quitter la clinique.</w:t>
            </w:r>
          </w:p>
        </w:tc>
        <w:tc>
          <w:tcPr>
            <w:tcW w:w="2693" w:type="dxa"/>
            <w:vAlign w:val="center"/>
          </w:tcPr>
          <w:p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bookmarkEnd w:id="0"/>
      <w:bookmarkEnd w:id="1"/>
    </w:tbl>
    <w:p w:rsidR="003F2033" w:rsidRDefault="003F2033"/>
    <w:sectPr w:rsidR="003F2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D04" w:rsidRDefault="00A00D04" w:rsidP="00807F44">
      <w:pPr>
        <w:spacing w:line="240" w:lineRule="auto"/>
      </w:pPr>
      <w:r>
        <w:separator/>
      </w:r>
    </w:p>
  </w:endnote>
  <w:endnote w:type="continuationSeparator" w:id="0">
    <w:p w:rsidR="00A00D04" w:rsidRDefault="00A00D04" w:rsidP="0080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D04" w:rsidRDefault="00A00D04" w:rsidP="00807F44">
      <w:pPr>
        <w:spacing w:line="240" w:lineRule="auto"/>
      </w:pPr>
      <w:r>
        <w:separator/>
      </w:r>
    </w:p>
  </w:footnote>
  <w:footnote w:type="continuationSeparator" w:id="0">
    <w:p w:rsidR="00A00D04" w:rsidRDefault="00A00D04" w:rsidP="0080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1"/>
      <w:tblW w:w="10191" w:type="dxa"/>
      <w:tblInd w:w="-564" w:type="dxa"/>
      <w:tblLook w:val="04A0" w:firstRow="1" w:lastRow="0" w:firstColumn="1" w:lastColumn="0" w:noHBand="0" w:noVBand="1"/>
    </w:tblPr>
    <w:tblGrid>
      <w:gridCol w:w="3278"/>
      <w:gridCol w:w="4330"/>
      <w:gridCol w:w="2583"/>
    </w:tblGrid>
    <w:tr w:rsidR="00807F44" w:rsidRPr="001935BA" w:rsidTr="00BD1F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:rsidR="00807F44" w:rsidRPr="001935BA" w:rsidRDefault="00807F44" w:rsidP="00807F44">
          <w:pPr>
            <w:spacing w:before="120" w:after="120"/>
            <w:jc w:val="center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noProof/>
              <w:lang w:eastAsia="fr-FR"/>
            </w:rPr>
            <w:drawing>
              <wp:inline distT="0" distB="0" distL="0" distR="0" wp14:anchorId="6686E7F3" wp14:editId="607D40F3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Align w:val="center"/>
        </w:tcPr>
        <w:p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Procédure</w:t>
          </w:r>
        </w:p>
        <w:p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Gestion administrative de l’hospitalisation</w:t>
          </w:r>
        </w:p>
      </w:tc>
      <w:tc>
        <w:tcPr>
          <w:tcW w:w="2583" w:type="dxa"/>
          <w:vAlign w:val="center"/>
        </w:tcPr>
        <w:p w:rsidR="00807F44" w:rsidRPr="001935BA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>Code : PO04-PR01-0</w:t>
          </w:r>
          <w:r w:rsidR="001935BA" w:rsidRPr="001935BA">
            <w:rPr>
              <w:rFonts w:ascii="Minion Pro" w:eastAsia="Calibri" w:hAnsi="Minion Pro" w:cs="Times New Roman"/>
              <w:b w:val="0"/>
              <w:bCs w:val="0"/>
            </w:rPr>
            <w:t>3</w:t>
          </w:r>
        </w:p>
        <w:p w:rsidR="00807F44" w:rsidRPr="001935BA" w:rsidRDefault="0081258F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>Date : 25</w:t>
          </w:r>
          <w:r w:rsidR="00EB6A73" w:rsidRPr="001935BA">
            <w:rPr>
              <w:rFonts w:ascii="Minion Pro" w:eastAsia="Calibri" w:hAnsi="Minion Pro" w:cs="Times New Roman"/>
              <w:b w:val="0"/>
              <w:bCs w:val="0"/>
            </w:rPr>
            <w:t>/06/2019</w:t>
          </w:r>
        </w:p>
        <w:p w:rsidR="00807F44" w:rsidRPr="001935BA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 xml:space="preserve">Page : </w:t>
          </w:r>
          <w:r w:rsidRPr="001935BA">
            <w:rPr>
              <w:rFonts w:ascii="Minion Pro" w:eastAsia="Calibri" w:hAnsi="Minion Pro" w:cs="Times New Roman"/>
            </w:rPr>
            <w:fldChar w:fldCharType="begin"/>
          </w:r>
          <w:r w:rsidRPr="001935BA">
            <w:rPr>
              <w:rFonts w:ascii="Minion Pro" w:eastAsia="Calibri" w:hAnsi="Minion Pro" w:cs="Times New Roman"/>
              <w:b w:val="0"/>
              <w:bCs w:val="0"/>
            </w:rPr>
            <w:instrText>PAGE   \* MERGEFORMAT</w:instrText>
          </w:r>
          <w:r w:rsidRPr="001935BA">
            <w:rPr>
              <w:rFonts w:ascii="Minion Pro" w:eastAsia="Calibri" w:hAnsi="Minion Pro" w:cs="Times New Roman"/>
            </w:rPr>
            <w:fldChar w:fldCharType="separate"/>
          </w:r>
          <w:r w:rsidR="0081258F" w:rsidRPr="001935BA">
            <w:rPr>
              <w:rFonts w:ascii="Minion Pro" w:eastAsia="Calibri" w:hAnsi="Minion Pro" w:cs="Times New Roman"/>
              <w:b w:val="0"/>
              <w:bCs w:val="0"/>
              <w:noProof/>
            </w:rPr>
            <w:t>4</w:t>
          </w:r>
          <w:r w:rsidRPr="001935BA">
            <w:rPr>
              <w:rFonts w:ascii="Minion Pro" w:eastAsia="Calibri" w:hAnsi="Minion Pro" w:cs="Times New Roman"/>
            </w:rPr>
            <w:fldChar w:fldCharType="end"/>
          </w:r>
        </w:p>
      </w:tc>
    </w:tr>
  </w:tbl>
  <w:p w:rsidR="00807F44" w:rsidRDefault="00807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vTsG0kbquBlrtXqusDf/1JwOflD/wKc16qy5je45KLtv1k6RphBSZdJAPZAEquydiU934BX3B97kTpoulkgYQ==" w:salt="OO+vI3OKE/B4+g+YrrXb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20"/>
    <w:rsid w:val="001863D5"/>
    <w:rsid w:val="001935BA"/>
    <w:rsid w:val="001D646B"/>
    <w:rsid w:val="001E369E"/>
    <w:rsid w:val="0029251B"/>
    <w:rsid w:val="003043C9"/>
    <w:rsid w:val="003B1052"/>
    <w:rsid w:val="003F2033"/>
    <w:rsid w:val="004E2F6D"/>
    <w:rsid w:val="006D3E97"/>
    <w:rsid w:val="00790CF5"/>
    <w:rsid w:val="007A6184"/>
    <w:rsid w:val="00807F44"/>
    <w:rsid w:val="0081258F"/>
    <w:rsid w:val="00A00D04"/>
    <w:rsid w:val="00B76620"/>
    <w:rsid w:val="00C52B09"/>
    <w:rsid w:val="00E43380"/>
    <w:rsid w:val="00E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3F666"/>
  <w15:chartTrackingRefBased/>
  <w15:docId w15:val="{E35EDABE-057D-4D39-8326-1044C4B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3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41">
    <w:name w:val="Tableau Grille 1 Clair - Accentuation 4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2">
    <w:name w:val="Tableau Grille 1 Clair - Accentuation 42"/>
    <w:basedOn w:val="TableauNormal"/>
    <w:next w:val="TableauGrille1Clair-Accentuation4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F44"/>
  </w:style>
  <w:style w:type="paragraph" w:styleId="Pieddepage">
    <w:name w:val="footer"/>
    <w:basedOn w:val="Normal"/>
    <w:link w:val="Pieddepag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F44"/>
  </w:style>
  <w:style w:type="table" w:customStyle="1" w:styleId="TableauGrille1Clair-Accentuation411">
    <w:name w:val="Tableau Grille 1 Clair - Accentuation 41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3983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10</cp:revision>
  <dcterms:created xsi:type="dcterms:W3CDTF">2019-05-28T13:35:00Z</dcterms:created>
  <dcterms:modified xsi:type="dcterms:W3CDTF">2019-10-22T14:59:00Z</dcterms:modified>
</cp:coreProperties>
</file>