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0F6E" w14:textId="54963E3B" w:rsidR="00B67204" w:rsidRPr="00B67204" w:rsidRDefault="00B67204" w:rsidP="00B67204">
      <w:pPr>
        <w:pStyle w:val="Titre1"/>
      </w:pPr>
      <w:r w:rsidRPr="00B67204">
        <w:t>Objet</w:t>
      </w:r>
    </w:p>
    <w:p w14:paraId="66BBCE7E" w14:textId="14160E11" w:rsidR="00B67204" w:rsidRDefault="00B67204" w:rsidP="00B67204">
      <w:pPr>
        <w:jc w:val="both"/>
        <w:rPr>
          <w:rFonts w:ascii="Poppins" w:hAnsi="Poppins" w:cs="Poppins"/>
        </w:rPr>
      </w:pPr>
      <w:r w:rsidRPr="00601BA8">
        <w:rPr>
          <w:rFonts w:ascii="Poppins" w:hAnsi="Poppins" w:cs="Poppins"/>
        </w:rPr>
        <w:t xml:space="preserve">Cette procédure détermine les règles de mise en œuvre </w:t>
      </w:r>
      <w:r>
        <w:rPr>
          <w:rFonts w:ascii="Poppins" w:hAnsi="Poppins" w:cs="Poppins"/>
        </w:rPr>
        <w:t xml:space="preserve">de la facturation des garants et du recouvrement. </w:t>
      </w:r>
    </w:p>
    <w:p w14:paraId="6F97471F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4DEDA851" w14:textId="77777777" w:rsidR="00B67204" w:rsidRPr="00601BA8" w:rsidRDefault="00B67204" w:rsidP="00B67204">
      <w:pPr>
        <w:pStyle w:val="Titre1"/>
      </w:pPr>
      <w:r w:rsidRPr="00601BA8">
        <w:t>Domaine d’application</w:t>
      </w:r>
    </w:p>
    <w:p w14:paraId="315EFE86" w14:textId="0EDB2A0C" w:rsidR="00B67204" w:rsidRDefault="00B67204" w:rsidP="00B67204">
      <w:pPr>
        <w:jc w:val="both"/>
        <w:rPr>
          <w:rFonts w:ascii="Poppins" w:hAnsi="Poppins" w:cs="Poppins"/>
        </w:rPr>
      </w:pPr>
      <w:r w:rsidRPr="00601BA8">
        <w:rPr>
          <w:rFonts w:ascii="Poppins" w:hAnsi="Poppins" w:cs="Poppins"/>
        </w:rPr>
        <w:t xml:space="preserve"> La procédure s’applique à l’ensemble des structures NEST</w:t>
      </w:r>
      <w:r>
        <w:rPr>
          <w:rFonts w:ascii="Poppins" w:hAnsi="Poppins" w:cs="Poppins"/>
        </w:rPr>
        <w:t>.</w:t>
      </w:r>
    </w:p>
    <w:p w14:paraId="528E15B4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24571F04" w14:textId="77777777" w:rsidR="00B67204" w:rsidRPr="00601BA8" w:rsidRDefault="00B67204" w:rsidP="00B67204">
      <w:pPr>
        <w:pStyle w:val="Titre1"/>
      </w:pPr>
      <w:r w:rsidRPr="00601BA8">
        <w:t>Responsabilité</w:t>
      </w:r>
    </w:p>
    <w:p w14:paraId="3D4DA91B" w14:textId="09EED76B" w:rsidR="00B67204" w:rsidRDefault="00B67204" w:rsidP="00B67204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Le pilote, avec les chargés de comptes clients sont responsables de l’application de cette procédure.</w:t>
      </w:r>
    </w:p>
    <w:p w14:paraId="42D7F9A6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49233515" w14:textId="66B85525" w:rsidR="00B67204" w:rsidRPr="00B67204" w:rsidRDefault="00B67204" w:rsidP="00B67204">
      <w:pPr>
        <w:pStyle w:val="Titre1"/>
      </w:pPr>
      <w:r w:rsidRPr="00601BA8">
        <w:t>Description de la procédure</w:t>
      </w:r>
    </w:p>
    <w:p w14:paraId="3593CC6B" w14:textId="4789B5E1" w:rsidR="00D800DA" w:rsidRDefault="001C391B" w:rsidP="00B67204">
      <w:pPr>
        <w:jc w:val="both"/>
        <w:rPr>
          <w:rFonts w:ascii="Poppins" w:eastAsia="Montserrat" w:hAnsi="Poppins" w:cs="Poppins"/>
        </w:rPr>
      </w:pPr>
      <w:r>
        <w:rPr>
          <w:rFonts w:ascii="Poppins" w:eastAsia="Montserrat" w:hAnsi="Poppins" w:cs="Poppins"/>
        </w:rPr>
        <w:t>cf.</w:t>
      </w:r>
      <w:r w:rsidR="00EA6388">
        <w:rPr>
          <w:rFonts w:ascii="Poppins" w:eastAsia="Montserrat" w:hAnsi="Poppins" w:cs="Poppins"/>
        </w:rPr>
        <w:t> :</w:t>
      </w:r>
      <w:r w:rsidR="00681DE3">
        <w:rPr>
          <w:rFonts w:ascii="Poppins" w:eastAsia="Montserrat" w:hAnsi="Poppins" w:cs="Poppins"/>
        </w:rPr>
        <w:t xml:space="preserve"> PO02 MO0002</w:t>
      </w:r>
    </w:p>
    <w:p w14:paraId="0C44571D" w14:textId="77777777" w:rsidR="005B31F6" w:rsidRPr="005B31F6" w:rsidRDefault="005B31F6" w:rsidP="00B67204">
      <w:pPr>
        <w:jc w:val="both"/>
        <w:rPr>
          <w:rFonts w:ascii="Poppins" w:eastAsia="Montserrat" w:hAnsi="Poppins" w:cs="Poppins"/>
          <w:color w:val="A64D79"/>
        </w:rPr>
      </w:pPr>
    </w:p>
    <w:p w14:paraId="26027112" w14:textId="4437B869" w:rsidR="00C6086E" w:rsidRPr="005B31F6" w:rsidRDefault="00000000" w:rsidP="00B67204">
      <w:pPr>
        <w:jc w:val="both"/>
        <w:rPr>
          <w:rFonts w:ascii="Poppins" w:eastAsia="Montserrat" w:hAnsi="Poppins" w:cs="Poppins"/>
          <w:b/>
          <w:color w:val="7BBBB2" w:themeColor="accent3"/>
        </w:rPr>
      </w:pPr>
      <w:r w:rsidRPr="005B31F6">
        <w:rPr>
          <w:rFonts w:ascii="Poppins" w:eastAsia="Montserrat" w:hAnsi="Poppins" w:cs="Poppins"/>
          <w:b/>
          <w:color w:val="7BBBB2" w:themeColor="accent3"/>
        </w:rPr>
        <w:t>Gestion de la relation garants</w:t>
      </w:r>
    </w:p>
    <w:p w14:paraId="2D942CF4" w14:textId="77777777" w:rsidR="00C6086E" w:rsidRPr="005B31F6" w:rsidRDefault="00000000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La relation avec les garants est gérée de manière continue en fonction de la catégorie à laquelle ils appartiennent.</w:t>
      </w:r>
    </w:p>
    <w:p w14:paraId="288D5AA5" w14:textId="58467A6E" w:rsidR="00C6086E" w:rsidRPr="005B31F6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b/>
          <w:sz w:val="20"/>
          <w:szCs w:val="20"/>
        </w:rPr>
        <w:t>petits</w:t>
      </w:r>
      <w:r w:rsidRPr="005B31F6">
        <w:rPr>
          <w:rFonts w:ascii="Poppins" w:eastAsia="Montserrat" w:hAnsi="Poppins" w:cs="Poppins"/>
          <w:sz w:val="20"/>
          <w:szCs w:val="20"/>
        </w:rPr>
        <w:t xml:space="preserve"> : </w:t>
      </w:r>
      <w:r w:rsidRPr="005B31F6">
        <w:rPr>
          <w:rFonts w:ascii="Poppins" w:eastAsia="Montserrat" w:hAnsi="Poppins" w:cs="Poppins"/>
          <w:b/>
          <w:sz w:val="20"/>
          <w:szCs w:val="20"/>
        </w:rPr>
        <w:t>CA facturé mensuel &lt; 450 000 FCFA</w:t>
      </w:r>
      <w:r w:rsidRPr="005B31F6">
        <w:rPr>
          <w:rFonts w:ascii="Poppins" w:eastAsia="Montserrat" w:hAnsi="Poppins" w:cs="Poppins"/>
          <w:sz w:val="20"/>
          <w:szCs w:val="20"/>
        </w:rPr>
        <w:t xml:space="preserve"> : la gestion de la relation est assurée par 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le Chargé </w:t>
      </w:r>
      <w:r w:rsidR="00C8591F" w:rsidRPr="005B31F6">
        <w:rPr>
          <w:rFonts w:ascii="Poppins" w:eastAsia="Montserrat" w:hAnsi="Poppins" w:cs="Poppins"/>
          <w:sz w:val="20"/>
          <w:szCs w:val="20"/>
        </w:rPr>
        <w:t>la RAC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, </w:t>
      </w:r>
      <w:r w:rsidRPr="005B31F6">
        <w:rPr>
          <w:rFonts w:ascii="Poppins" w:eastAsia="Montserrat" w:hAnsi="Poppins" w:cs="Poppins"/>
          <w:sz w:val="20"/>
          <w:szCs w:val="20"/>
        </w:rPr>
        <w:t xml:space="preserve">selon une procédure bien </w:t>
      </w:r>
      <w:r w:rsidR="00433647" w:rsidRPr="005B31F6">
        <w:rPr>
          <w:rFonts w:ascii="Poppins" w:eastAsia="Montserrat" w:hAnsi="Poppins" w:cs="Poppins"/>
          <w:sz w:val="20"/>
          <w:szCs w:val="20"/>
        </w:rPr>
        <w:t>définie ;</w:t>
      </w:r>
    </w:p>
    <w:p w14:paraId="51DB22CA" w14:textId="32144012" w:rsidR="00C6086E" w:rsidRPr="005B31F6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b/>
          <w:sz w:val="20"/>
          <w:szCs w:val="20"/>
        </w:rPr>
        <w:t>moyens : 450 000 FCFA ≤ CA facturé mensuel &lt; 850 000 FCFA</w:t>
      </w:r>
      <w:r w:rsidRPr="005B31F6">
        <w:rPr>
          <w:rFonts w:ascii="Poppins" w:eastAsia="Montserrat" w:hAnsi="Poppins" w:cs="Poppins"/>
          <w:sz w:val="20"/>
          <w:szCs w:val="20"/>
        </w:rPr>
        <w:t xml:space="preserve"> : la gestion de la relation est assurée par </w:t>
      </w:r>
      <w:r w:rsidR="00433647" w:rsidRPr="005B31F6">
        <w:rPr>
          <w:rFonts w:ascii="Poppins" w:eastAsia="Montserrat" w:hAnsi="Poppins" w:cs="Poppins"/>
          <w:sz w:val="20"/>
          <w:szCs w:val="20"/>
        </w:rPr>
        <w:t>la RAC</w:t>
      </w:r>
      <w:r w:rsidRPr="005B31F6">
        <w:rPr>
          <w:rFonts w:ascii="Poppins" w:eastAsia="Montserrat" w:hAnsi="Poppins" w:cs="Poppins"/>
          <w:sz w:val="20"/>
          <w:szCs w:val="20"/>
        </w:rPr>
        <w:t xml:space="preserve"> selon une procédure bien </w:t>
      </w:r>
      <w:r w:rsidR="00433647" w:rsidRPr="005B31F6">
        <w:rPr>
          <w:rFonts w:ascii="Poppins" w:eastAsia="Montserrat" w:hAnsi="Poppins" w:cs="Poppins"/>
          <w:sz w:val="20"/>
          <w:szCs w:val="20"/>
        </w:rPr>
        <w:t>définie ;</w:t>
      </w:r>
    </w:p>
    <w:p w14:paraId="5ED277B9" w14:textId="77777777" w:rsidR="00C6086E" w:rsidRPr="005B31F6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b/>
          <w:sz w:val="20"/>
          <w:szCs w:val="20"/>
        </w:rPr>
        <w:t>gros : CA facturé mensuel ≥ 850 000 FCFA</w:t>
      </w:r>
      <w:r w:rsidRPr="005B31F6">
        <w:rPr>
          <w:rFonts w:ascii="Poppins" w:eastAsia="Montserrat" w:hAnsi="Poppins" w:cs="Poppins"/>
          <w:sz w:val="20"/>
          <w:szCs w:val="20"/>
        </w:rPr>
        <w:t xml:space="preserve"> : la gestion de la relation est assurée par la RAC selon une procédure adaptable en fonction de la situation.</w:t>
      </w:r>
    </w:p>
    <w:p w14:paraId="4B47D3F7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1D9B89D1" w14:textId="022D4093" w:rsidR="00C6086E" w:rsidRPr="005B31F6" w:rsidRDefault="00000000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1 - L</w:t>
      </w:r>
      <w:r w:rsidR="00C8591F" w:rsidRPr="005B31F6">
        <w:rPr>
          <w:rFonts w:ascii="Poppins" w:eastAsia="Montserrat" w:hAnsi="Poppins" w:cs="Poppins"/>
          <w:sz w:val="20"/>
          <w:szCs w:val="20"/>
        </w:rPr>
        <w:t>a</w:t>
      </w:r>
      <w:r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="00C8591F" w:rsidRPr="005B31F6">
        <w:rPr>
          <w:rFonts w:ascii="Poppins" w:eastAsia="Montserrat" w:hAnsi="Poppins" w:cs="Poppins"/>
          <w:sz w:val="20"/>
          <w:szCs w:val="20"/>
        </w:rPr>
        <w:t>RAC</w:t>
      </w:r>
      <w:r w:rsidRPr="005B31F6">
        <w:rPr>
          <w:rFonts w:ascii="Poppins" w:eastAsia="Montserrat" w:hAnsi="Poppins" w:cs="Poppins"/>
          <w:sz w:val="20"/>
          <w:szCs w:val="20"/>
        </w:rPr>
        <w:t xml:space="preserve"> devr</w:t>
      </w:r>
      <w:r w:rsidR="00433647" w:rsidRPr="005B31F6">
        <w:rPr>
          <w:rFonts w:ascii="Poppins" w:eastAsia="Montserrat" w:hAnsi="Poppins" w:cs="Poppins"/>
          <w:sz w:val="20"/>
          <w:szCs w:val="20"/>
        </w:rPr>
        <w:t>a</w:t>
      </w:r>
      <w:r w:rsidRPr="005B31F6">
        <w:rPr>
          <w:rFonts w:ascii="Poppins" w:eastAsia="Montserrat" w:hAnsi="Poppins" w:cs="Poppins"/>
          <w:sz w:val="20"/>
          <w:szCs w:val="20"/>
        </w:rPr>
        <w:t xml:space="preserve"> régulièrement mettre à jour les données téléphoniques, électroniques et géographiques de chacun des garants faisant partie </w:t>
      </w:r>
      <w:r w:rsidR="00433647" w:rsidRPr="005B31F6">
        <w:rPr>
          <w:rFonts w:ascii="Poppins" w:eastAsia="Montserrat" w:hAnsi="Poppins" w:cs="Poppins"/>
          <w:sz w:val="20"/>
          <w:szCs w:val="20"/>
        </w:rPr>
        <w:t>du</w:t>
      </w:r>
      <w:r w:rsidRPr="005B31F6">
        <w:rPr>
          <w:rFonts w:ascii="Poppins" w:eastAsia="Montserrat" w:hAnsi="Poppins" w:cs="Poppins"/>
          <w:sz w:val="20"/>
          <w:szCs w:val="20"/>
        </w:rPr>
        <w:t xml:space="preserve"> portefeuille.</w:t>
      </w:r>
    </w:p>
    <w:p w14:paraId="7302DDA8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4FFE61DA" w14:textId="56FE3650" w:rsidR="00C6086E" w:rsidRPr="005B31F6" w:rsidRDefault="00000000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 xml:space="preserve">2 - Par la suite, 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la RAC, </w:t>
      </w:r>
      <w:r w:rsidRPr="005B31F6">
        <w:rPr>
          <w:rFonts w:ascii="Poppins" w:eastAsia="Montserrat" w:hAnsi="Poppins" w:cs="Poppins"/>
          <w:sz w:val="20"/>
          <w:szCs w:val="20"/>
        </w:rPr>
        <w:t>devra de façon hebdomadaire :</w:t>
      </w:r>
    </w:p>
    <w:p w14:paraId="6CFCD0B8" w14:textId="1D21C379" w:rsidR="00C6086E" w:rsidRPr="005B31F6" w:rsidRDefault="00C408AA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Procéder à</w:t>
      </w:r>
      <w:r w:rsidR="00C8591F" w:rsidRPr="005B31F6">
        <w:rPr>
          <w:rFonts w:ascii="Poppins" w:eastAsia="Montserrat" w:hAnsi="Poppins" w:cs="Poppins"/>
          <w:sz w:val="20"/>
          <w:szCs w:val="20"/>
        </w:rPr>
        <w:t xml:space="preserve"> la mise à jour d</w:t>
      </w:r>
      <w:r w:rsidRPr="005B31F6">
        <w:rPr>
          <w:rFonts w:ascii="Poppins" w:eastAsia="Montserrat" w:hAnsi="Poppins" w:cs="Poppins"/>
          <w:sz w:val="20"/>
          <w:szCs w:val="20"/>
        </w:rPr>
        <w:t xml:space="preserve">es soldes des garants constituant </w:t>
      </w:r>
      <w:r w:rsidR="00433647" w:rsidRPr="005B31F6">
        <w:rPr>
          <w:rFonts w:ascii="Poppins" w:eastAsia="Montserrat" w:hAnsi="Poppins" w:cs="Poppins"/>
          <w:sz w:val="20"/>
          <w:szCs w:val="20"/>
        </w:rPr>
        <w:t>le</w:t>
      </w:r>
      <w:r w:rsidRPr="005B31F6">
        <w:rPr>
          <w:rFonts w:ascii="Poppins" w:eastAsia="Montserrat" w:hAnsi="Poppins" w:cs="Poppins"/>
          <w:sz w:val="20"/>
          <w:szCs w:val="20"/>
        </w:rPr>
        <w:t xml:space="preserve"> portefeuille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Pr="005B31F6">
        <w:rPr>
          <w:rFonts w:ascii="Poppins" w:eastAsia="Montserrat" w:hAnsi="Poppins" w:cs="Poppins"/>
          <w:sz w:val="20"/>
          <w:szCs w:val="20"/>
        </w:rPr>
        <w:t>;</w:t>
      </w:r>
    </w:p>
    <w:p w14:paraId="39E00B98" w14:textId="4EFA6133" w:rsidR="00C6086E" w:rsidRPr="005B31F6" w:rsidRDefault="00000000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Obtenir la liste des factures composant ces soldes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Pr="005B31F6">
        <w:rPr>
          <w:rFonts w:ascii="Poppins" w:eastAsia="Montserrat" w:hAnsi="Poppins" w:cs="Poppins"/>
          <w:sz w:val="20"/>
          <w:szCs w:val="20"/>
        </w:rPr>
        <w:t>;</w:t>
      </w:r>
    </w:p>
    <w:p w14:paraId="529A4C16" w14:textId="77777777" w:rsidR="005B31F6" w:rsidRDefault="00000000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Distinguer les garants ayant des soldes échus de ceux dont le solde n’est pas échu (soldes non échus – Appels/Mails de courtoisie ; soldes échus – Actions de recouvrement).</w:t>
      </w:r>
    </w:p>
    <w:p w14:paraId="5A120F26" w14:textId="4D2D015E" w:rsidR="00C6086E" w:rsidRPr="005B31F6" w:rsidRDefault="00000000" w:rsidP="005B31F6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lastRenderedPageBreak/>
        <w:t>3</w:t>
      </w:r>
      <w:r w:rsidR="00D53305"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Pr="005B31F6">
        <w:rPr>
          <w:rFonts w:ascii="Poppins" w:eastAsia="Montserrat" w:hAnsi="Poppins" w:cs="Poppins"/>
          <w:sz w:val="20"/>
          <w:szCs w:val="20"/>
        </w:rPr>
        <w:t>-</w:t>
      </w:r>
      <w:r w:rsidR="00D53305"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Pr="005B31F6">
        <w:rPr>
          <w:rFonts w:ascii="Poppins" w:eastAsia="Montserrat" w:hAnsi="Poppins" w:cs="Poppins"/>
          <w:sz w:val="20"/>
          <w:szCs w:val="20"/>
        </w:rPr>
        <w:t xml:space="preserve">Pour les garants n’ayant pas de soldes échus, </w:t>
      </w:r>
      <w:r w:rsidR="004C3D0B" w:rsidRPr="005B31F6">
        <w:rPr>
          <w:rFonts w:ascii="Poppins" w:eastAsia="Montserrat" w:hAnsi="Poppins" w:cs="Poppins"/>
          <w:sz w:val="20"/>
          <w:szCs w:val="20"/>
        </w:rPr>
        <w:t>la RAC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, </w:t>
      </w:r>
      <w:r w:rsidRPr="005B31F6">
        <w:rPr>
          <w:rFonts w:ascii="Poppins" w:eastAsia="Montserrat" w:hAnsi="Poppins" w:cs="Poppins"/>
          <w:sz w:val="20"/>
          <w:szCs w:val="20"/>
        </w:rPr>
        <w:t>mèner</w:t>
      </w:r>
      <w:r w:rsidR="00433647" w:rsidRPr="005B31F6">
        <w:rPr>
          <w:rFonts w:ascii="Poppins" w:eastAsia="Montserrat" w:hAnsi="Poppins" w:cs="Poppins"/>
          <w:sz w:val="20"/>
          <w:szCs w:val="20"/>
        </w:rPr>
        <w:t xml:space="preserve">a </w:t>
      </w:r>
      <w:r w:rsidRPr="005B31F6">
        <w:rPr>
          <w:rFonts w:ascii="Poppins" w:eastAsia="Montserrat" w:hAnsi="Poppins" w:cs="Poppins"/>
          <w:sz w:val="20"/>
          <w:szCs w:val="20"/>
        </w:rPr>
        <w:t>les actions suivantes</w:t>
      </w:r>
      <w:r w:rsidR="002F0B08" w:rsidRPr="005B31F6">
        <w:rPr>
          <w:rFonts w:ascii="Poppins" w:eastAsia="Montserrat" w:hAnsi="Poppins" w:cs="Poppins"/>
          <w:sz w:val="20"/>
          <w:szCs w:val="20"/>
        </w:rPr>
        <w:t xml:space="preserve"> si pertinent</w:t>
      </w:r>
      <w:r w:rsidRPr="005B31F6">
        <w:rPr>
          <w:rFonts w:ascii="Poppins" w:eastAsia="Montserrat" w:hAnsi="Poppins" w:cs="Poppins"/>
          <w:sz w:val="20"/>
          <w:szCs w:val="20"/>
        </w:rPr>
        <w:t xml:space="preserve"> :</w:t>
      </w:r>
    </w:p>
    <w:p w14:paraId="6AF06419" w14:textId="2B62881B" w:rsidR="006C5A96" w:rsidRPr="005B31F6" w:rsidRDefault="006C5A96" w:rsidP="006C5A96">
      <w:pPr>
        <w:numPr>
          <w:ilvl w:val="0"/>
          <w:numId w:val="6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Envoyer un mail pour informer le garant du montant de son solde qui est sur le point d’être échu, en y joignant l’état des factures concernées.</w:t>
      </w:r>
    </w:p>
    <w:p w14:paraId="48D9C9E3" w14:textId="3BD771A9" w:rsidR="00C6086E" w:rsidRPr="005B31F6" w:rsidRDefault="006C5A96" w:rsidP="00B67204">
      <w:pPr>
        <w:numPr>
          <w:ilvl w:val="0"/>
          <w:numId w:val="6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 xml:space="preserve"> Si les messages sont envoyés dans le cadre d’un événement particulier, adapter le mail en fonction de l'événement.</w:t>
      </w:r>
    </w:p>
    <w:p w14:paraId="64BEAA43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0FB6533E" w14:textId="6126EE7F" w:rsidR="00C6086E" w:rsidRPr="005B31F6" w:rsidRDefault="00000000" w:rsidP="005B31F6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 xml:space="preserve">4 - Pour les garants ayant des soldes échus, </w:t>
      </w:r>
      <w:r w:rsidR="004C3D0B" w:rsidRPr="005B31F6">
        <w:rPr>
          <w:rFonts w:ascii="Poppins" w:eastAsia="Montserrat" w:hAnsi="Poppins" w:cs="Poppins"/>
          <w:sz w:val="20"/>
          <w:szCs w:val="20"/>
        </w:rPr>
        <w:t>la RAC</w:t>
      </w:r>
      <w:r w:rsidRPr="005B31F6">
        <w:rPr>
          <w:rFonts w:ascii="Poppins" w:eastAsia="Montserrat" w:hAnsi="Poppins" w:cs="Poppins"/>
          <w:sz w:val="20"/>
          <w:szCs w:val="20"/>
        </w:rPr>
        <w:t xml:space="preserve"> </w:t>
      </w:r>
      <w:r w:rsidR="005B31F6" w:rsidRPr="005B31F6">
        <w:rPr>
          <w:rFonts w:ascii="Poppins" w:eastAsia="Montserrat" w:hAnsi="Poppins" w:cs="Poppins"/>
          <w:sz w:val="20"/>
          <w:szCs w:val="20"/>
        </w:rPr>
        <w:t>v</w:t>
      </w:r>
      <w:r w:rsidRPr="005B31F6">
        <w:rPr>
          <w:rFonts w:ascii="Poppins" w:eastAsia="Montserrat" w:hAnsi="Poppins" w:cs="Poppins"/>
          <w:sz w:val="20"/>
          <w:szCs w:val="20"/>
        </w:rPr>
        <w:t>érifie dans l</w:t>
      </w:r>
      <w:r w:rsidR="00F851A6" w:rsidRPr="005B31F6">
        <w:rPr>
          <w:rFonts w:ascii="Poppins" w:eastAsia="Montserrat" w:hAnsi="Poppins" w:cs="Poppins"/>
          <w:sz w:val="20"/>
          <w:szCs w:val="20"/>
        </w:rPr>
        <w:t>’application comptable</w:t>
      </w:r>
      <w:r w:rsidR="005B31F6" w:rsidRPr="005B31F6">
        <w:rPr>
          <w:rFonts w:ascii="Poppins" w:eastAsia="Montserrat" w:hAnsi="Poppins" w:cs="Poppins"/>
          <w:sz w:val="20"/>
          <w:szCs w:val="20"/>
        </w:rPr>
        <w:t>.</w:t>
      </w:r>
    </w:p>
    <w:p w14:paraId="0E676896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3023F452" w14:textId="4EE36185" w:rsidR="00C6086E" w:rsidRPr="005B31F6" w:rsidRDefault="00C8591F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5 - Envoyer à chaque garant un mail de rappel de soldes échus avec en pièce jointe l’état des factures constituant le solde échu.</w:t>
      </w:r>
    </w:p>
    <w:p w14:paraId="6E60BF9C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10A3AB00" w14:textId="6811438A" w:rsidR="00C6086E" w:rsidRPr="005B31F6" w:rsidRDefault="00C8591F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 xml:space="preserve">6 - Contacter par la suite le garant par téléphone, pour l’informer de son solde, lui notifier qu’on lui a envoyé un mail avec un état récapitulatif des factures échues et prendre connaissance d’éventuels règlements disponibles. </w:t>
      </w:r>
    </w:p>
    <w:p w14:paraId="71E3E50E" w14:textId="77777777" w:rsidR="00C6086E" w:rsidRPr="005B31F6" w:rsidRDefault="00000000" w:rsidP="00B67204">
      <w:pPr>
        <w:jc w:val="both"/>
        <w:rPr>
          <w:rFonts w:ascii="Poppins" w:eastAsia="Montserrat" w:hAnsi="Poppins" w:cs="Poppins"/>
          <w:color w:val="A64D79"/>
          <w:sz w:val="20"/>
          <w:szCs w:val="20"/>
        </w:rPr>
      </w:pPr>
      <w:r w:rsidRPr="005B31F6">
        <w:rPr>
          <w:rFonts w:ascii="Poppins" w:eastAsia="Montserrat" w:hAnsi="Poppins" w:cs="Poppins"/>
          <w:color w:val="A64D79"/>
          <w:sz w:val="20"/>
          <w:szCs w:val="20"/>
        </w:rPr>
        <w:t>NB : Si le garant avait précédemment pris des engagements qu’il n’a pas respectés au cours de la semaine, il faudra également s’enquérir de la situation concernant lesdits engagements.</w:t>
      </w:r>
    </w:p>
    <w:p w14:paraId="4ED743EB" w14:textId="77777777" w:rsidR="00C6086E" w:rsidRPr="005B31F6" w:rsidRDefault="00000000" w:rsidP="00B67204">
      <w:pPr>
        <w:numPr>
          <w:ilvl w:val="0"/>
          <w:numId w:val="2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S’il s’agit d’un règlement par virement, demander l’ordre de virement ainsi que la liste des factures concernées par ce virement et informer le Service Comptable du virement.</w:t>
      </w:r>
    </w:p>
    <w:p w14:paraId="335575B3" w14:textId="77777777" w:rsidR="00C6086E" w:rsidRPr="005B31F6" w:rsidRDefault="00000000" w:rsidP="00B67204">
      <w:pPr>
        <w:numPr>
          <w:ilvl w:val="0"/>
          <w:numId w:val="2"/>
        </w:num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S’il s’agit d’un chèque, informer le coursier pour la récupération.</w:t>
      </w:r>
    </w:p>
    <w:p w14:paraId="44AEF186" w14:textId="7958E902" w:rsidR="00953433" w:rsidRPr="005B31F6" w:rsidRDefault="00000000" w:rsidP="00B67204">
      <w:pPr>
        <w:jc w:val="both"/>
        <w:rPr>
          <w:rFonts w:ascii="Poppins" w:eastAsia="Montserrat" w:hAnsi="Poppins" w:cs="Poppins"/>
          <w:color w:val="A64D79"/>
          <w:sz w:val="20"/>
          <w:szCs w:val="20"/>
        </w:rPr>
      </w:pPr>
      <w:r w:rsidRPr="005B31F6">
        <w:rPr>
          <w:rFonts w:ascii="Poppins" w:eastAsia="Montserrat" w:hAnsi="Poppins" w:cs="Poppins"/>
          <w:color w:val="A64D79"/>
          <w:sz w:val="20"/>
          <w:szCs w:val="20"/>
        </w:rPr>
        <w:t>NB : Qu’il s’agisse d’un règlement par virement ou par chèque, il faut toujours s’assurer que les factures concernées par le règlement sont précisées par le garant.</w:t>
      </w:r>
    </w:p>
    <w:p w14:paraId="40D66B13" w14:textId="77777777" w:rsidR="00C6086E" w:rsidRPr="005B31F6" w:rsidRDefault="00C6086E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2A8B92C1" w14:textId="09134252" w:rsidR="005B31F6" w:rsidRPr="005B31F6" w:rsidRDefault="00D53305" w:rsidP="00B67204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7</w:t>
      </w:r>
      <w:r w:rsidR="00000000" w:rsidRPr="005B31F6">
        <w:rPr>
          <w:rFonts w:ascii="Poppins" w:eastAsia="Montserrat" w:hAnsi="Poppins" w:cs="Poppins"/>
          <w:sz w:val="20"/>
          <w:szCs w:val="20"/>
        </w:rPr>
        <w:t xml:space="preserve"> - En cas de </w:t>
      </w:r>
      <w:r w:rsidR="005B31F6" w:rsidRPr="005B31F6">
        <w:rPr>
          <w:rFonts w:ascii="Poppins" w:eastAsia="Montserrat" w:hAnsi="Poppins" w:cs="Poppins"/>
          <w:sz w:val="20"/>
          <w:szCs w:val="20"/>
        </w:rPr>
        <w:t>non-règlement</w:t>
      </w:r>
      <w:r w:rsidR="00000000" w:rsidRPr="005B31F6">
        <w:rPr>
          <w:rFonts w:ascii="Poppins" w:eastAsia="Montserrat" w:hAnsi="Poppins" w:cs="Poppins"/>
          <w:sz w:val="20"/>
          <w:szCs w:val="20"/>
        </w:rPr>
        <w:t xml:space="preserve"> des soldes échus et de relances restées sans suite des garants, informer la Direction afin de programmer une visite du garant.</w:t>
      </w:r>
    </w:p>
    <w:p w14:paraId="40B3E4CE" w14:textId="77777777" w:rsidR="005B31F6" w:rsidRPr="005B31F6" w:rsidRDefault="005B31F6" w:rsidP="00B67204">
      <w:pPr>
        <w:jc w:val="both"/>
        <w:rPr>
          <w:rFonts w:ascii="Poppins" w:eastAsia="Montserrat" w:hAnsi="Poppins" w:cs="Poppins"/>
          <w:sz w:val="20"/>
          <w:szCs w:val="20"/>
        </w:rPr>
      </w:pPr>
    </w:p>
    <w:p w14:paraId="092DE8C0" w14:textId="2F6EC625" w:rsidR="00C17D54" w:rsidRPr="005B31F6" w:rsidRDefault="00D53305" w:rsidP="00F851A6">
      <w:pPr>
        <w:jc w:val="both"/>
        <w:rPr>
          <w:rFonts w:ascii="Poppins" w:eastAsia="Montserrat" w:hAnsi="Poppins" w:cs="Poppins"/>
          <w:sz w:val="20"/>
          <w:szCs w:val="20"/>
        </w:rPr>
      </w:pPr>
      <w:r w:rsidRPr="005B31F6">
        <w:rPr>
          <w:rFonts w:ascii="Poppins" w:eastAsia="Montserrat" w:hAnsi="Poppins" w:cs="Poppins"/>
          <w:sz w:val="20"/>
          <w:szCs w:val="20"/>
        </w:rPr>
        <w:t>8</w:t>
      </w:r>
      <w:r w:rsidR="00000000" w:rsidRPr="005B31F6">
        <w:rPr>
          <w:rFonts w:ascii="Poppins" w:eastAsia="Montserrat" w:hAnsi="Poppins" w:cs="Poppins"/>
          <w:sz w:val="20"/>
          <w:szCs w:val="20"/>
        </w:rPr>
        <w:t xml:space="preserve"> - A l'issue de la visite, si le garant ne procède pas au règlement des sommes dues, préparer un courrier de notification de suspension à envoyer au garant.</w:t>
      </w:r>
    </w:p>
    <w:sectPr w:rsidR="00C17D54" w:rsidRPr="005B31F6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90014" w14:textId="77777777" w:rsidR="00F1450C" w:rsidRDefault="00F1450C">
      <w:pPr>
        <w:spacing w:line="240" w:lineRule="auto"/>
      </w:pPr>
      <w:r>
        <w:separator/>
      </w:r>
    </w:p>
  </w:endnote>
  <w:endnote w:type="continuationSeparator" w:id="0">
    <w:p w14:paraId="20DA0981" w14:textId="77777777" w:rsidR="00F1450C" w:rsidRDefault="00F145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5DF587-5C7E-4F45-B81C-60F9D9B9708F}"/>
    <w:embedBold r:id="rId2" w:fontKey="{F1562458-F676-4357-9433-D92BC48A41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6385632A-3F6C-462B-868F-46FE02B9B937}"/>
    <w:embedBold r:id="rId4" w:fontKey="{16E8CE4C-364D-4B28-9481-900E41FBF2A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A765EE92-EF00-4BEA-BD32-A291031B273C}"/>
    <w:embedBold r:id="rId6" w:fontKey="{080E1876-2D6F-4E7C-BF21-3E9738CF1D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AC649E4-0CC4-48EE-855C-17B1EF3193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C302E" w14:textId="77777777" w:rsidR="00F1450C" w:rsidRDefault="00F1450C">
      <w:pPr>
        <w:spacing w:line="240" w:lineRule="auto"/>
      </w:pPr>
      <w:r>
        <w:separator/>
      </w:r>
    </w:p>
  </w:footnote>
  <w:footnote w:type="continuationSeparator" w:id="0">
    <w:p w14:paraId="0C14ADF5" w14:textId="77777777" w:rsidR="00F1450C" w:rsidRDefault="00F145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uGrille4-Accentuation2"/>
      <w:tblW w:w="9411" w:type="dxa"/>
      <w:jc w:val="center"/>
      <w:tblLook w:val="0600" w:firstRow="0" w:lastRow="0" w:firstColumn="0" w:lastColumn="0" w:noHBand="1" w:noVBand="1"/>
    </w:tblPr>
    <w:tblGrid>
      <w:gridCol w:w="2443"/>
      <w:gridCol w:w="4507"/>
      <w:gridCol w:w="2461"/>
    </w:tblGrid>
    <w:tr w:rsidR="00B67204" w:rsidRPr="00B67204" w14:paraId="3ADC4862" w14:textId="77777777" w:rsidTr="00B67204">
      <w:trPr>
        <w:trHeight w:val="1082"/>
        <w:jc w:val="center"/>
      </w:trPr>
      <w:tc>
        <w:tcPr>
          <w:tcW w:w="2443" w:type="dxa"/>
          <w:vAlign w:val="center"/>
        </w:tcPr>
        <w:p w14:paraId="2308A86A" w14:textId="77777777" w:rsidR="00B67204" w:rsidRPr="00B67204" w:rsidRDefault="00B67204" w:rsidP="00B67204">
          <w:pPr>
            <w:pStyle w:val="Pieddepage"/>
            <w:tabs>
              <w:tab w:val="left" w:pos="1470"/>
            </w:tabs>
            <w:jc w:val="center"/>
            <w:rPr>
              <w:rFonts w:ascii="Poppins" w:hAnsi="Poppins" w:cs="Poppins"/>
              <w:sz w:val="28"/>
              <w:szCs w:val="28"/>
            </w:rPr>
          </w:pPr>
          <w:r w:rsidRPr="00B67204">
            <w:rPr>
              <w:rFonts w:ascii="Poppins" w:hAnsi="Poppins" w:cs="Poppins"/>
              <w:noProof/>
              <w:sz w:val="28"/>
              <w:szCs w:val="28"/>
            </w:rPr>
            <w:drawing>
              <wp:inline distT="0" distB="0" distL="0" distR="0" wp14:anchorId="2FD19F3C" wp14:editId="17D68D27">
                <wp:extent cx="1171575" cy="790575"/>
                <wp:effectExtent l="0" t="0" r="9525" b="9525"/>
                <wp:docPr id="233814288" name="Image 1" descr="Une image contenant texte, Police, Graphique, graphis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814288" name="Image 1" descr="Une image contenant texte, Police, Graphique, graphism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7" w:type="dxa"/>
          <w:vAlign w:val="center"/>
        </w:tcPr>
        <w:p w14:paraId="64FD9173" w14:textId="77777777" w:rsidR="00B67204" w:rsidRDefault="00B67204" w:rsidP="00B67204">
          <w:pPr>
            <w:jc w:val="center"/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</w:pPr>
          <w:r w:rsidRPr="00B67204"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Procédure</w:t>
          </w:r>
        </w:p>
        <w:p w14:paraId="7554E6DD" w14:textId="6EC1D32C" w:rsidR="00B67204" w:rsidRPr="00B67204" w:rsidRDefault="00B67204" w:rsidP="00B67204">
          <w:pPr>
            <w:jc w:val="center"/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</w:pPr>
          <w:r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F</w:t>
          </w:r>
          <w:r w:rsidRPr="00B67204"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acturation des garants et recouvrement</w:t>
          </w:r>
        </w:p>
      </w:tc>
      <w:tc>
        <w:tcPr>
          <w:tcW w:w="2461" w:type="dxa"/>
          <w:vAlign w:val="center"/>
        </w:tcPr>
        <w:p w14:paraId="5529ACF0" w14:textId="4BD4F5FF" w:rsidR="00B67204" w:rsidRPr="00C17D54" w:rsidRDefault="00B67204" w:rsidP="00C17D54">
          <w:pPr>
            <w:pStyle w:val="En-tte"/>
            <w:jc w:val="center"/>
            <w:rPr>
              <w:rFonts w:ascii="Poppins" w:hAnsi="Poppins" w:cs="Poppins"/>
              <w:sz w:val="24"/>
              <w:szCs w:val="24"/>
            </w:rPr>
          </w:pPr>
          <w:r w:rsidRPr="00C17D54">
            <w:rPr>
              <w:rFonts w:ascii="Poppins" w:hAnsi="Poppins" w:cs="Poppins"/>
              <w:sz w:val="24"/>
              <w:szCs w:val="24"/>
            </w:rPr>
            <w:t xml:space="preserve">Page : </w: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begin"/>
          </w:r>
          <w:r w:rsidRPr="00C17D54">
            <w:rPr>
              <w:rFonts w:ascii="Poppins" w:hAnsi="Poppins" w:cs="Poppins"/>
              <w:sz w:val="24"/>
              <w:szCs w:val="24"/>
            </w:rPr>
            <w:instrText>PAGE   \* MERGEFORMAT</w:instrTex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separate"/>
          </w:r>
          <w:r w:rsidRPr="00C17D54">
            <w:rPr>
              <w:rFonts w:ascii="Poppins" w:hAnsi="Poppins" w:cs="Poppins"/>
              <w:noProof/>
              <w:sz w:val="24"/>
              <w:szCs w:val="24"/>
            </w:rPr>
            <w:t>4</w: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end"/>
          </w:r>
        </w:p>
      </w:tc>
    </w:tr>
  </w:tbl>
  <w:p w14:paraId="620F7B92" w14:textId="77777777" w:rsidR="003C7AAF" w:rsidRDefault="003C7AAF">
    <w:pPr>
      <w:rPr>
        <w:rFonts w:ascii="Montserrat" w:eastAsia="Montserrat" w:hAnsi="Montserrat" w:cs="Montserrat"/>
        <w:sz w:val="4"/>
        <w:szCs w:val="4"/>
      </w:rPr>
    </w:pPr>
  </w:p>
  <w:p w14:paraId="53D3F212" w14:textId="77777777" w:rsidR="003C7AAF" w:rsidRDefault="003C7AAF">
    <w:pPr>
      <w:rPr>
        <w:rFonts w:ascii="Montserrat" w:eastAsia="Montserrat" w:hAnsi="Montserrat" w:cs="Montserrat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F6701"/>
    <w:multiLevelType w:val="multilevel"/>
    <w:tmpl w:val="E328F5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193C21"/>
    <w:multiLevelType w:val="multilevel"/>
    <w:tmpl w:val="1BA28A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136FBE"/>
    <w:multiLevelType w:val="multilevel"/>
    <w:tmpl w:val="511C13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BF4922"/>
    <w:multiLevelType w:val="multilevel"/>
    <w:tmpl w:val="C6F651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4B198C"/>
    <w:multiLevelType w:val="hybridMultilevel"/>
    <w:tmpl w:val="2BE8CD4A"/>
    <w:lvl w:ilvl="0" w:tplc="455663B2">
      <w:numFmt w:val="bullet"/>
      <w:lvlText w:val="-"/>
      <w:lvlJc w:val="left"/>
      <w:pPr>
        <w:ind w:left="644" w:hanging="360"/>
      </w:pPr>
      <w:rPr>
        <w:rFonts w:ascii="Minion Pro" w:eastAsiaTheme="minorHAnsi" w:hAnsi="Minion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3212B70"/>
    <w:multiLevelType w:val="multilevel"/>
    <w:tmpl w:val="43E4F6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6B4BBE"/>
    <w:multiLevelType w:val="multilevel"/>
    <w:tmpl w:val="D5B0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49953527">
    <w:abstractNumId w:val="5"/>
  </w:num>
  <w:num w:numId="2" w16cid:durableId="2004047608">
    <w:abstractNumId w:val="3"/>
  </w:num>
  <w:num w:numId="3" w16cid:durableId="1489245925">
    <w:abstractNumId w:val="2"/>
  </w:num>
  <w:num w:numId="4" w16cid:durableId="1851599608">
    <w:abstractNumId w:val="0"/>
  </w:num>
  <w:num w:numId="5" w16cid:durableId="547760211">
    <w:abstractNumId w:val="1"/>
  </w:num>
  <w:num w:numId="6" w16cid:durableId="1425956292">
    <w:abstractNumId w:val="6"/>
  </w:num>
  <w:num w:numId="7" w16cid:durableId="1181894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86E"/>
    <w:rsid w:val="00074654"/>
    <w:rsid w:val="000B1A00"/>
    <w:rsid w:val="000B530B"/>
    <w:rsid w:val="000C56CA"/>
    <w:rsid w:val="00107E34"/>
    <w:rsid w:val="00175B4A"/>
    <w:rsid w:val="001C391B"/>
    <w:rsid w:val="002145A7"/>
    <w:rsid w:val="00273E12"/>
    <w:rsid w:val="002F0B08"/>
    <w:rsid w:val="00364051"/>
    <w:rsid w:val="003C7AAF"/>
    <w:rsid w:val="00433647"/>
    <w:rsid w:val="004C12DB"/>
    <w:rsid w:val="004C3D0B"/>
    <w:rsid w:val="004E6CAF"/>
    <w:rsid w:val="00516612"/>
    <w:rsid w:val="0053663A"/>
    <w:rsid w:val="005B31F6"/>
    <w:rsid w:val="00651207"/>
    <w:rsid w:val="00681DE3"/>
    <w:rsid w:val="006C5A96"/>
    <w:rsid w:val="006D42A6"/>
    <w:rsid w:val="006F34C6"/>
    <w:rsid w:val="006F5EC3"/>
    <w:rsid w:val="00795439"/>
    <w:rsid w:val="00807334"/>
    <w:rsid w:val="008303B7"/>
    <w:rsid w:val="00842BA3"/>
    <w:rsid w:val="008D5E4C"/>
    <w:rsid w:val="008F48A9"/>
    <w:rsid w:val="009112EA"/>
    <w:rsid w:val="00916BF9"/>
    <w:rsid w:val="00941973"/>
    <w:rsid w:val="00953433"/>
    <w:rsid w:val="00972598"/>
    <w:rsid w:val="009D16FA"/>
    <w:rsid w:val="009F454B"/>
    <w:rsid w:val="00AA2106"/>
    <w:rsid w:val="00AD247D"/>
    <w:rsid w:val="00B40F24"/>
    <w:rsid w:val="00B67204"/>
    <w:rsid w:val="00B757B9"/>
    <w:rsid w:val="00B85F24"/>
    <w:rsid w:val="00C17D54"/>
    <w:rsid w:val="00C408AA"/>
    <w:rsid w:val="00C6086E"/>
    <w:rsid w:val="00C8591F"/>
    <w:rsid w:val="00CE7DC4"/>
    <w:rsid w:val="00CF1D85"/>
    <w:rsid w:val="00D17727"/>
    <w:rsid w:val="00D277FA"/>
    <w:rsid w:val="00D53305"/>
    <w:rsid w:val="00D800DA"/>
    <w:rsid w:val="00E01670"/>
    <w:rsid w:val="00E1141A"/>
    <w:rsid w:val="00E61823"/>
    <w:rsid w:val="00EA6388"/>
    <w:rsid w:val="00EC7364"/>
    <w:rsid w:val="00EC79DB"/>
    <w:rsid w:val="00F1450C"/>
    <w:rsid w:val="00F71589"/>
    <w:rsid w:val="00F75C1D"/>
    <w:rsid w:val="00F8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24815"/>
  <w15:docId w15:val="{FE38BCE3-B431-4256-BA94-9446D56F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B67204"/>
    <w:pPr>
      <w:keepNext/>
      <w:keepLines/>
      <w:jc w:val="both"/>
      <w:outlineLvl w:val="0"/>
    </w:pPr>
    <w:rPr>
      <w:rFonts w:ascii="Poppins" w:hAnsi="Poppins" w:cs="Poppins"/>
      <w:color w:val="752864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B6720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204"/>
  </w:style>
  <w:style w:type="paragraph" w:styleId="Pieddepage">
    <w:name w:val="footer"/>
    <w:basedOn w:val="Normal"/>
    <w:link w:val="PieddepageCar"/>
    <w:uiPriority w:val="99"/>
    <w:unhideWhenUsed/>
    <w:rsid w:val="00B6720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7204"/>
  </w:style>
  <w:style w:type="table" w:styleId="TableauGrille4-Accentuation2">
    <w:name w:val="Grid Table 4 Accent 2"/>
    <w:basedOn w:val="TableauNormal"/>
    <w:uiPriority w:val="49"/>
    <w:rsid w:val="00B67204"/>
    <w:pPr>
      <w:spacing w:line="240" w:lineRule="auto"/>
    </w:pPr>
    <w:rPr>
      <w:rFonts w:asciiTheme="minorHAnsi" w:eastAsiaTheme="minorHAnsi" w:hAnsiTheme="minorHAnsi" w:cstheme="minorBidi"/>
      <w:lang w:val="fr-FR" w:eastAsia="en-US"/>
    </w:rPr>
    <w:tblPr>
      <w:tblStyleRowBandSize w:val="1"/>
      <w:tblStyleColBandSize w:val="1"/>
      <w:tblBorders>
        <w:top w:val="single" w:sz="4" w:space="0" w:color="F3D7CB" w:themeColor="accent2" w:themeTint="99"/>
        <w:left w:val="single" w:sz="4" w:space="0" w:color="F3D7CB" w:themeColor="accent2" w:themeTint="99"/>
        <w:bottom w:val="single" w:sz="4" w:space="0" w:color="F3D7CB" w:themeColor="accent2" w:themeTint="99"/>
        <w:right w:val="single" w:sz="4" w:space="0" w:color="F3D7CB" w:themeColor="accent2" w:themeTint="99"/>
        <w:insideH w:val="single" w:sz="4" w:space="0" w:color="F3D7CB" w:themeColor="accent2" w:themeTint="99"/>
        <w:insideV w:val="single" w:sz="4" w:space="0" w:color="F3D7C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BDA9" w:themeColor="accent2"/>
          <w:left w:val="single" w:sz="4" w:space="0" w:color="EBBDA9" w:themeColor="accent2"/>
          <w:bottom w:val="single" w:sz="4" w:space="0" w:color="EBBDA9" w:themeColor="accent2"/>
          <w:right w:val="single" w:sz="4" w:space="0" w:color="EBBDA9" w:themeColor="accent2"/>
          <w:insideH w:val="nil"/>
          <w:insideV w:val="nil"/>
        </w:tcBorders>
        <w:shd w:val="clear" w:color="auto" w:fill="EBBDA9" w:themeFill="accent2"/>
      </w:tcPr>
    </w:tblStylePr>
    <w:tblStylePr w:type="lastRow">
      <w:rPr>
        <w:b/>
        <w:bCs/>
      </w:rPr>
      <w:tblPr/>
      <w:tcPr>
        <w:tcBorders>
          <w:top w:val="double" w:sz="4" w:space="0" w:color="EBBD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ED" w:themeFill="accent2" w:themeFillTint="33"/>
      </w:tcPr>
    </w:tblStylePr>
    <w:tblStylePr w:type="band1Horz">
      <w:tblPr/>
      <w:tcPr>
        <w:shd w:val="clear" w:color="auto" w:fill="FBF1ED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B67204"/>
    <w:pPr>
      <w:spacing w:before="120" w:after="120" w:line="259" w:lineRule="auto"/>
      <w:ind w:left="720" w:firstLine="284"/>
      <w:contextualSpacing/>
      <w:jc w:val="both"/>
    </w:pPr>
    <w:rPr>
      <w:rFonts w:ascii="Minion Pro" w:eastAsiaTheme="minorHAnsi" w:hAnsi="Minion Pro" w:cstheme="minorBidi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75B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B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B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B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B4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51207"/>
    <w:pPr>
      <w:spacing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6BF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16BF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16B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S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64"/>
      </a:accent1>
      <a:accent2>
        <a:srgbClr val="EBBDA9"/>
      </a:accent2>
      <a:accent3>
        <a:srgbClr val="7BBBB2"/>
      </a:accent3>
      <a:accent4>
        <a:srgbClr val="752864"/>
      </a:accent4>
      <a:accent5>
        <a:srgbClr val="EBBDA9"/>
      </a:accent5>
      <a:accent6>
        <a:srgbClr val="7BBBB2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8C479-7058-4A9D-9530-AFED8659F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 Opérationnelle</dc:creator>
  <cp:lastModifiedBy>Lauriane Le Flour</cp:lastModifiedBy>
  <cp:revision>11</cp:revision>
  <dcterms:created xsi:type="dcterms:W3CDTF">2025-08-06T12:25:00Z</dcterms:created>
  <dcterms:modified xsi:type="dcterms:W3CDTF">2026-03-17T08:22:00Z</dcterms:modified>
</cp:coreProperties>
</file>