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9DC8" w14:textId="77777777" w:rsidR="00E5152C" w:rsidRDefault="00000000">
      <w:pPr>
        <w:pStyle w:val="Titre1"/>
        <w:rPr>
          <w:rFonts w:ascii="Poppins" w:hAnsi="Poppins" w:cs="Poppins"/>
          <w:color w:val="752864"/>
          <w:sz w:val="28"/>
          <w:szCs w:val="28"/>
        </w:rPr>
      </w:pPr>
      <w:r>
        <w:rPr>
          <w:rFonts w:ascii="Poppins" w:hAnsi="Poppins" w:cs="Poppins"/>
          <w:color w:val="752864"/>
          <w:sz w:val="28"/>
          <w:szCs w:val="28"/>
        </w:rPr>
        <w:t>Objet</w:t>
      </w:r>
    </w:p>
    <w:p w14:paraId="412BC551" w14:textId="77777777" w:rsidR="00E5152C" w:rsidRDefault="00000000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Ce mode opératoire a pour objet de décrire les dispositions de planification et de suivi de la maintenance des ressources matérielles. Il vise à assurer que toutes les opérations de maintenances nécessaires sont effectuées et que toutes les maintenances effectuées sont tracées.</w:t>
      </w:r>
    </w:p>
    <w:p w14:paraId="473D8F17" w14:textId="77777777" w:rsidR="00E5152C" w:rsidRDefault="00000000">
      <w:pPr>
        <w:pStyle w:val="Titre1"/>
        <w:tabs>
          <w:tab w:val="right" w:pos="9072"/>
        </w:tabs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color w:val="752864"/>
          <w:sz w:val="28"/>
          <w:szCs w:val="28"/>
        </w:rPr>
        <w:t>Domaine d’application</w:t>
      </w:r>
      <w:r>
        <w:rPr>
          <w:rFonts w:ascii="Poppins" w:hAnsi="Poppins" w:cs="Poppins"/>
          <w:sz w:val="28"/>
          <w:szCs w:val="28"/>
        </w:rPr>
        <w:tab/>
        <w:t xml:space="preserve"> </w:t>
      </w:r>
    </w:p>
    <w:p w14:paraId="1FA736F4" w14:textId="77777777" w:rsidR="00E5152C" w:rsidRDefault="00000000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 Ce présent mode opératoire s’applique à l’ensemble des ressources matérielles de Nest.</w:t>
      </w:r>
    </w:p>
    <w:p w14:paraId="6CF4010F" w14:textId="77777777" w:rsidR="00E5152C" w:rsidRDefault="00000000">
      <w:pPr>
        <w:pStyle w:val="Titre1"/>
        <w:rPr>
          <w:rFonts w:ascii="Poppins" w:hAnsi="Poppins" w:cs="Poppins"/>
          <w:color w:val="752864"/>
          <w:sz w:val="28"/>
          <w:szCs w:val="28"/>
        </w:rPr>
      </w:pPr>
      <w:r>
        <w:rPr>
          <w:rFonts w:ascii="Poppins" w:hAnsi="Poppins" w:cs="Poppins"/>
          <w:color w:val="752864"/>
          <w:sz w:val="28"/>
          <w:szCs w:val="28"/>
        </w:rPr>
        <w:t>Responsabilité</w:t>
      </w:r>
    </w:p>
    <w:p w14:paraId="67D99528" w14:textId="77777777" w:rsidR="00E5152C" w:rsidRDefault="00000000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Le pilote et le copilote sont chargés de l’application de ce mode opératoire.</w:t>
      </w:r>
    </w:p>
    <w:p w14:paraId="213C1159" w14:textId="77777777" w:rsidR="00E5152C" w:rsidRDefault="00000000">
      <w:pPr>
        <w:pStyle w:val="Titre1"/>
        <w:rPr>
          <w:rFonts w:ascii="Poppins" w:hAnsi="Poppins" w:cs="Poppins"/>
          <w:color w:val="752864"/>
          <w:sz w:val="28"/>
          <w:szCs w:val="28"/>
        </w:rPr>
      </w:pPr>
      <w:r>
        <w:rPr>
          <w:rFonts w:ascii="Poppins" w:hAnsi="Poppins" w:cs="Poppins"/>
          <w:color w:val="752864"/>
          <w:sz w:val="28"/>
          <w:szCs w:val="28"/>
        </w:rPr>
        <w:t>Description du mode opératoire</w:t>
      </w:r>
    </w:p>
    <w:p w14:paraId="187259CD" w14:textId="77777777" w:rsidR="00E5152C" w:rsidRDefault="00000000">
      <w:pPr>
        <w:pStyle w:val="Titre2"/>
        <w:rPr>
          <w:rFonts w:ascii="Poppins" w:hAnsi="Poppins" w:cs="Poppins"/>
          <w:color w:val="752864"/>
          <w:sz w:val="24"/>
          <w:szCs w:val="24"/>
          <w14:textFill>
            <w14:solidFill>
              <w14:srgbClr w14:val="752864">
                <w14:lumMod w14:val="60000"/>
                <w14:lumOff w14:val="40000"/>
              </w14:srgbClr>
            </w14:solidFill>
          </w14:textFill>
        </w:rPr>
      </w:pPr>
      <w:r>
        <w:rPr>
          <w:rFonts w:ascii="Poppins" w:hAnsi="Poppins" w:cs="Poppins"/>
          <w:color w:val="752864"/>
          <w:sz w:val="24"/>
          <w:szCs w:val="24"/>
          <w14:textFill>
            <w14:solidFill>
              <w14:srgbClr w14:val="752864">
                <w14:lumMod w14:val="60000"/>
                <w14:lumOff w14:val="40000"/>
              </w14:srgbClr>
            </w14:solidFill>
          </w14:textFill>
        </w:rPr>
        <w:t>Planification de la maintenance préventive</w:t>
      </w:r>
    </w:p>
    <w:tbl>
      <w:tblPr>
        <w:tblStyle w:val="TableauGrille1Clair-Accentuation41"/>
        <w:tblW w:w="9314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3904"/>
        <w:gridCol w:w="5410"/>
      </w:tblGrid>
      <w:tr w:rsidR="00E5152C" w14:paraId="700D5455" w14:textId="77777777" w:rsidTr="00D15E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4" w:type="dxa"/>
            <w:tcBorders>
              <w:bottom w:val="nil"/>
            </w:tcBorders>
            <w:vAlign w:val="center"/>
          </w:tcPr>
          <w:p w14:paraId="75EBD879" w14:textId="77777777" w:rsidR="00E5152C" w:rsidRDefault="00000000">
            <w:pPr>
              <w:spacing w:line="240" w:lineRule="auto"/>
              <w:ind w:firstLine="0"/>
              <w:jc w:val="center"/>
              <w:rPr>
                <w:rFonts w:ascii="Poppins" w:hAnsi="Poppins" w:cs="Poppins"/>
                <w:bCs w:val="0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Acteur</w:t>
            </w:r>
          </w:p>
        </w:tc>
        <w:tc>
          <w:tcPr>
            <w:tcW w:w="5410" w:type="dxa"/>
            <w:tcBorders>
              <w:bottom w:val="nil"/>
            </w:tcBorders>
            <w:vAlign w:val="center"/>
          </w:tcPr>
          <w:p w14:paraId="73DC9357" w14:textId="77777777" w:rsidR="00E5152C" w:rsidRDefault="00000000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 w:val="0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Action</w:t>
            </w:r>
          </w:p>
        </w:tc>
      </w:tr>
      <w:tr w:rsidR="00E5152C" w14:paraId="3E31645B" w14:textId="77777777" w:rsidTr="00D15E6B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4" w:type="dxa"/>
            <w:vAlign w:val="center"/>
          </w:tcPr>
          <w:p w14:paraId="4A693817" w14:textId="77777777" w:rsidR="00E5152C" w:rsidRDefault="00000000">
            <w:pPr>
              <w:spacing w:line="240" w:lineRule="auto"/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Chargée des opérations</w:t>
            </w:r>
          </w:p>
        </w:tc>
        <w:tc>
          <w:tcPr>
            <w:tcW w:w="5410" w:type="dxa"/>
            <w:vAlign w:val="center"/>
          </w:tcPr>
          <w:p w14:paraId="4199A3E5" w14:textId="77777777" w:rsidR="00E5152C" w:rsidRDefault="000000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Etablit et tient à jour la liste des opérations de maintenance préventive nécessaires pour l’ensemble des ressources matérielles.</w:t>
            </w:r>
          </w:p>
        </w:tc>
      </w:tr>
      <w:tr w:rsidR="00E5152C" w14:paraId="34901C0B" w14:textId="77777777" w:rsidTr="00D15E6B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4" w:type="dxa"/>
            <w:vAlign w:val="center"/>
          </w:tcPr>
          <w:p w14:paraId="07E3BA93" w14:textId="22B39D89" w:rsidR="00E5152C" w:rsidRDefault="00000000">
            <w:pPr>
              <w:spacing w:line="240" w:lineRule="auto"/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Chargée des opérations</w:t>
            </w:r>
          </w:p>
        </w:tc>
        <w:tc>
          <w:tcPr>
            <w:tcW w:w="5410" w:type="dxa"/>
            <w:vAlign w:val="center"/>
          </w:tcPr>
          <w:p w14:paraId="46793FC4" w14:textId="77777777" w:rsidR="00E5152C" w:rsidRDefault="00000000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Planifient toutes ces opérations</w:t>
            </w:r>
          </w:p>
        </w:tc>
      </w:tr>
      <w:tr w:rsidR="00E5152C" w14:paraId="13F75FD1" w14:textId="77777777" w:rsidTr="00D15E6B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4" w:type="dxa"/>
            <w:vAlign w:val="center"/>
          </w:tcPr>
          <w:p w14:paraId="1790A3AC" w14:textId="0984B06B" w:rsidR="00E5152C" w:rsidRDefault="00D15E6B">
            <w:pPr>
              <w:spacing w:line="240" w:lineRule="auto"/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Chargée des opérations</w:t>
            </w:r>
            <w:r>
              <w:rPr>
                <w:rFonts w:ascii="Poppins" w:hAnsi="Poppins" w:cs="Poppins"/>
                <w:sz w:val="20"/>
                <w:szCs w:val="20"/>
              </w:rPr>
              <w:t xml:space="preserve"> / DO</w:t>
            </w:r>
          </w:p>
        </w:tc>
        <w:tc>
          <w:tcPr>
            <w:tcW w:w="5410" w:type="dxa"/>
            <w:vAlign w:val="center"/>
          </w:tcPr>
          <w:p w14:paraId="22E3B083" w14:textId="77777777" w:rsidR="00E5152C" w:rsidRDefault="00000000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Au plus tard au début de chaque mois, s’assure que toutes les actions prévues pour ce mois sont planifiées.</w:t>
            </w:r>
          </w:p>
        </w:tc>
      </w:tr>
    </w:tbl>
    <w:p w14:paraId="1423A0AE" w14:textId="77777777" w:rsidR="00E5152C" w:rsidRDefault="00E5152C">
      <w:pPr>
        <w:spacing w:before="0" w:after="160"/>
        <w:ind w:firstLine="0"/>
        <w:jc w:val="left"/>
        <w:rPr>
          <w:rFonts w:ascii="Poppins" w:eastAsiaTheme="majorEastAsia" w:hAnsi="Poppins" w:cs="Poppins"/>
          <w:color w:val="B2A1C7" w:themeColor="accent4" w:themeTint="99"/>
          <w:sz w:val="24"/>
          <w:szCs w:val="24"/>
          <w:lang w:eastAsia="fr-FR"/>
        </w:rPr>
      </w:pPr>
    </w:p>
    <w:p w14:paraId="35D7FF30" w14:textId="77777777" w:rsidR="00E5152C" w:rsidRDefault="00000000">
      <w:pPr>
        <w:pStyle w:val="Titre2"/>
        <w:rPr>
          <w:rFonts w:ascii="Poppins" w:hAnsi="Poppins" w:cs="Poppins"/>
          <w:color w:val="752864"/>
          <w:sz w:val="24"/>
          <w:szCs w:val="24"/>
          <w14:textFill>
            <w14:solidFill>
              <w14:srgbClr w14:val="752864">
                <w14:lumMod w14:val="60000"/>
                <w14:lumOff w14:val="40000"/>
              </w14:srgbClr>
            </w14:solidFill>
          </w14:textFill>
        </w:rPr>
      </w:pPr>
      <w:r>
        <w:rPr>
          <w:rFonts w:ascii="Poppins" w:hAnsi="Poppins" w:cs="Poppins"/>
          <w:color w:val="752864"/>
          <w:sz w:val="24"/>
          <w:szCs w:val="24"/>
          <w14:textFill>
            <w14:solidFill>
              <w14:srgbClr w14:val="752864">
                <w14:lumMod w14:val="60000"/>
                <w14:lumOff w14:val="40000"/>
              </w14:srgbClr>
            </w14:solidFill>
          </w14:textFill>
        </w:rPr>
        <w:t>Suivi des actions de maintenance</w:t>
      </w:r>
    </w:p>
    <w:tbl>
      <w:tblPr>
        <w:tblStyle w:val="TableauGrille1Clair-Accentuation41"/>
        <w:tblW w:w="9351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E5152C" w14:paraId="18DB8E20" w14:textId="77777777" w:rsidTr="00E515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il"/>
            </w:tcBorders>
            <w:vAlign w:val="center"/>
          </w:tcPr>
          <w:p w14:paraId="3A65B552" w14:textId="77777777" w:rsidR="00E5152C" w:rsidRDefault="00000000">
            <w:pPr>
              <w:spacing w:line="240" w:lineRule="auto"/>
              <w:ind w:firstLine="0"/>
              <w:jc w:val="center"/>
              <w:rPr>
                <w:rFonts w:ascii="Poppins" w:hAnsi="Poppins" w:cs="Poppins"/>
                <w:bCs w:val="0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Acteur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6AE9DF4E" w14:textId="77777777" w:rsidR="00E5152C" w:rsidRDefault="00000000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 w:val="0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Action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14:paraId="2928AF58" w14:textId="77777777" w:rsidR="00E5152C" w:rsidRDefault="00000000">
            <w:pPr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 w:val="0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Commentaire</w:t>
            </w:r>
          </w:p>
        </w:tc>
      </w:tr>
      <w:tr w:rsidR="00E5152C" w14:paraId="1DF1B860" w14:textId="77777777" w:rsidTr="00E5152C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9E81C38" w14:textId="77777777" w:rsidR="00E5152C" w:rsidRDefault="00000000">
            <w:pPr>
              <w:spacing w:line="240" w:lineRule="auto"/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Chargée des opérations </w:t>
            </w:r>
          </w:p>
        </w:tc>
        <w:tc>
          <w:tcPr>
            <w:tcW w:w="3685" w:type="dxa"/>
            <w:vAlign w:val="center"/>
          </w:tcPr>
          <w:p w14:paraId="188F6BD5" w14:textId="77777777" w:rsidR="00E5152C" w:rsidRDefault="000000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Pour chaque opération de maintenance réalisée, renseigne le document adapté.</w:t>
            </w:r>
          </w:p>
        </w:tc>
        <w:tc>
          <w:tcPr>
            <w:tcW w:w="3686" w:type="dxa"/>
            <w:vAlign w:val="center"/>
          </w:tcPr>
          <w:p w14:paraId="51289BE6" w14:textId="77777777" w:rsidR="00E5152C" w:rsidRDefault="00000000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Il est précisé si c’est une action préventive ou curative (dans la fiche d’intervention pour le matériel). S’il y a présence d’un </w:t>
            </w:r>
            <w:r>
              <w:rPr>
                <w:rFonts w:ascii="Poppins" w:hAnsi="Poppins" w:cs="Poppins"/>
                <w:sz w:val="20"/>
                <w:szCs w:val="20"/>
              </w:rPr>
              <w:lastRenderedPageBreak/>
              <w:t>rapport celui-ci est gardé par la Chargée des opérations</w:t>
            </w:r>
          </w:p>
        </w:tc>
      </w:tr>
      <w:tr w:rsidR="00E5152C" w14:paraId="4A4E1A3C" w14:textId="77777777" w:rsidTr="00E5152C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D3AEAFA" w14:textId="77777777" w:rsidR="00E5152C" w:rsidRDefault="00000000">
            <w:pPr>
              <w:spacing w:line="240" w:lineRule="auto"/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lastRenderedPageBreak/>
              <w:t xml:space="preserve">Chargée des opérations </w:t>
            </w:r>
          </w:p>
        </w:tc>
        <w:tc>
          <w:tcPr>
            <w:tcW w:w="3685" w:type="dxa"/>
            <w:vAlign w:val="center"/>
          </w:tcPr>
          <w:p w14:paraId="38556A30" w14:textId="77777777" w:rsidR="00E5152C" w:rsidRDefault="00000000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Classe les rapports d’intervention des prestataires.</w:t>
            </w:r>
          </w:p>
        </w:tc>
        <w:tc>
          <w:tcPr>
            <w:tcW w:w="3686" w:type="dxa"/>
            <w:vAlign w:val="center"/>
          </w:tcPr>
          <w:p w14:paraId="3FD78675" w14:textId="77777777" w:rsidR="00E5152C" w:rsidRDefault="00000000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Les rapports sont classés par prestataire.</w:t>
            </w:r>
          </w:p>
        </w:tc>
      </w:tr>
      <w:tr w:rsidR="00E5152C" w14:paraId="14921B41" w14:textId="77777777" w:rsidTr="00E5152C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1514092" w14:textId="77777777" w:rsidR="00E5152C" w:rsidRDefault="00000000">
            <w:pPr>
              <w:spacing w:line="240" w:lineRule="auto"/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Chargée des opérations </w:t>
            </w:r>
          </w:p>
        </w:tc>
        <w:tc>
          <w:tcPr>
            <w:tcW w:w="3685" w:type="dxa"/>
            <w:vAlign w:val="center"/>
          </w:tcPr>
          <w:p w14:paraId="1526F38A" w14:textId="77777777" w:rsidR="00E5152C" w:rsidRDefault="00000000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Pour les opérations effectuées sur du matériel médical, les actions doivent également être renseignées dans </w:t>
            </w: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Qualipro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(métrologie).</w:t>
            </w:r>
          </w:p>
        </w:tc>
        <w:tc>
          <w:tcPr>
            <w:tcW w:w="3686" w:type="dxa"/>
            <w:vAlign w:val="center"/>
          </w:tcPr>
          <w:p w14:paraId="1259A816" w14:textId="77777777" w:rsidR="00E5152C" w:rsidRDefault="00E5152C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5152C" w14:paraId="6D6BC914" w14:textId="77777777" w:rsidTr="00E5152C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42C3620" w14:textId="77777777" w:rsidR="00E5152C" w:rsidRDefault="00000000">
            <w:pPr>
              <w:spacing w:line="240" w:lineRule="auto"/>
              <w:ind w:firstLine="0"/>
              <w:jc w:val="center"/>
              <w:rPr>
                <w:rFonts w:ascii="Poppins" w:hAnsi="Poppins" w:cs="Poppins"/>
                <w:b w:val="0"/>
                <w:bCs w:val="0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Chargée des opérations </w:t>
            </w:r>
          </w:p>
        </w:tc>
        <w:tc>
          <w:tcPr>
            <w:tcW w:w="3685" w:type="dxa"/>
            <w:vAlign w:val="center"/>
          </w:tcPr>
          <w:p w14:paraId="6F25353A" w14:textId="77777777" w:rsidR="00E5152C" w:rsidRDefault="00000000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Récupère les fiches d’entretien, scanne et archive dans </w:t>
            </w: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Qualipro</w:t>
            </w:r>
            <w:proofErr w:type="spellEnd"/>
          </w:p>
        </w:tc>
        <w:tc>
          <w:tcPr>
            <w:tcW w:w="3686" w:type="dxa"/>
            <w:vAlign w:val="center"/>
          </w:tcPr>
          <w:p w14:paraId="0177D67A" w14:textId="77777777" w:rsidR="00E5152C" w:rsidRDefault="00E5152C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5B0DFE66" w14:textId="77777777" w:rsidR="00E5152C" w:rsidRDefault="00E5152C">
      <w:pPr>
        <w:pStyle w:val="Titre1"/>
        <w:ind w:firstLine="0"/>
        <w:rPr>
          <w:rFonts w:ascii="Poppins" w:hAnsi="Poppins" w:cs="Poppins"/>
          <w:sz w:val="28"/>
          <w:szCs w:val="28"/>
        </w:rPr>
      </w:pPr>
    </w:p>
    <w:p w14:paraId="42E57748" w14:textId="77777777" w:rsidR="00E5152C" w:rsidRDefault="00E5152C">
      <w:pPr>
        <w:pStyle w:val="Retraitcorpsdetexte2"/>
        <w:rPr>
          <w:rFonts w:ascii="Poppins" w:hAnsi="Poppins" w:cs="Poppins"/>
          <w:sz w:val="20"/>
          <w:szCs w:val="18"/>
        </w:rPr>
      </w:pPr>
    </w:p>
    <w:p w14:paraId="781DD208" w14:textId="77777777" w:rsidR="00E5152C" w:rsidRDefault="00E5152C">
      <w:pPr>
        <w:rPr>
          <w:rFonts w:ascii="Poppins" w:hAnsi="Poppins" w:cs="Poppins"/>
          <w:sz w:val="20"/>
          <w:szCs w:val="20"/>
        </w:rPr>
      </w:pPr>
    </w:p>
    <w:sectPr w:rsidR="00E515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C925D" w14:textId="77777777" w:rsidR="0020587A" w:rsidRDefault="0020587A">
      <w:pPr>
        <w:spacing w:line="240" w:lineRule="auto"/>
      </w:pPr>
      <w:r>
        <w:separator/>
      </w:r>
    </w:p>
  </w:endnote>
  <w:endnote w:type="continuationSeparator" w:id="0">
    <w:p w14:paraId="0F04BF79" w14:textId="77777777" w:rsidR="0020587A" w:rsidRDefault="002058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00"/>
    <w:family w:val="roman"/>
    <w:pitch w:val="default"/>
    <w:sig w:usb0="00000000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Segoe Print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12740" w14:textId="77777777" w:rsidR="0020587A" w:rsidRDefault="0020587A">
      <w:pPr>
        <w:spacing w:before="0" w:after="0"/>
      </w:pPr>
      <w:r>
        <w:separator/>
      </w:r>
    </w:p>
  </w:footnote>
  <w:footnote w:type="continuationSeparator" w:id="0">
    <w:p w14:paraId="68265368" w14:textId="77777777" w:rsidR="0020587A" w:rsidRDefault="0020587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41"/>
      <w:tblW w:w="9207" w:type="dxa"/>
      <w:tblBorders>
        <w:top w:val="single" w:sz="4" w:space="0" w:color="EBBDA9"/>
        <w:left w:val="single" w:sz="4" w:space="0" w:color="EBBDA9"/>
        <w:bottom w:val="single" w:sz="4" w:space="0" w:color="EBBDA9"/>
        <w:right w:val="single" w:sz="4" w:space="0" w:color="EBBDA9"/>
        <w:insideV w:val="single" w:sz="4" w:space="0" w:color="EBBDA9"/>
      </w:tblBorders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E5152C" w14:paraId="2B2EC7A0" w14:textId="77777777" w:rsidTr="00E5152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tcBorders>
            <w:bottom w:val="nil"/>
          </w:tcBorders>
          <w:vAlign w:val="center"/>
        </w:tcPr>
        <w:p w14:paraId="53E33CE6" w14:textId="77777777" w:rsidR="00E5152C" w:rsidRDefault="00000000">
          <w:pPr>
            <w:pStyle w:val="En-tte"/>
            <w:spacing w:line="240" w:lineRule="auto"/>
            <w:rPr>
              <w:bCs w:val="0"/>
            </w:rPr>
          </w:pPr>
          <w:r>
            <w:rPr>
              <w:b w:val="0"/>
              <w:bCs w:val="0"/>
              <w:noProof/>
              <w:lang w:val="en-US"/>
            </w:rPr>
            <w:drawing>
              <wp:inline distT="0" distB="0" distL="0" distR="0" wp14:anchorId="31F3DC28" wp14:editId="7351C9FD">
                <wp:extent cx="969645" cy="619125"/>
                <wp:effectExtent l="0" t="0" r="1905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7035" cy="63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tcBorders>
            <w:bottom w:val="nil"/>
          </w:tcBorders>
          <w:vAlign w:val="center"/>
        </w:tcPr>
        <w:p w14:paraId="4FA4299B" w14:textId="77777777" w:rsidR="00E5152C" w:rsidRDefault="00000000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Cs w:val="0"/>
              <w:color w:val="752864"/>
              <w:sz w:val="22"/>
              <w:szCs w:val="22"/>
              <w14:textFill>
                <w14:solidFill>
                  <w14:srgbClr w14:val="752864">
                    <w14:lumMod w14:val="60000"/>
                    <w14:lumOff w14:val="40000"/>
                  </w14:srgbClr>
                </w14:solidFill>
              </w14:textFill>
            </w:rPr>
          </w:pPr>
          <w:r>
            <w:rPr>
              <w:rFonts w:ascii="Poppins" w:hAnsi="Poppins" w:cs="Poppins"/>
              <w:b w:val="0"/>
              <w:color w:val="752864"/>
              <w:sz w:val="22"/>
              <w:szCs w:val="22"/>
              <w14:textFill>
                <w14:solidFill>
                  <w14:srgbClr w14:val="752864">
                    <w14:lumMod w14:val="60000"/>
                    <w14:lumOff w14:val="40000"/>
                  </w14:srgbClr>
                </w14:solidFill>
              </w14:textFill>
            </w:rPr>
            <w:t>Mode opératoire</w:t>
          </w:r>
        </w:p>
        <w:p w14:paraId="67DD0848" w14:textId="77777777" w:rsidR="00E5152C" w:rsidRDefault="00000000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  <w:color w:val="B2A1C7" w:themeColor="accent4" w:themeTint="99"/>
            </w:rPr>
          </w:pPr>
          <w:r>
            <w:rPr>
              <w:rFonts w:ascii="Poppins" w:hAnsi="Poppins" w:cs="Poppins"/>
              <w:b w:val="0"/>
              <w:color w:val="752864"/>
              <w:sz w:val="22"/>
              <w:szCs w:val="22"/>
              <w14:textFill>
                <w14:solidFill>
                  <w14:srgbClr w14:val="752864">
                    <w14:lumMod w14:val="60000"/>
                    <w14:lumOff w14:val="40000"/>
                  </w14:srgbClr>
                </w14:solidFill>
              </w14:textFill>
            </w:rPr>
            <w:t>Planification et suivi de maintenance</w:t>
          </w:r>
        </w:p>
      </w:tc>
      <w:tc>
        <w:tcPr>
          <w:tcW w:w="2408" w:type="dxa"/>
          <w:tcBorders>
            <w:bottom w:val="nil"/>
          </w:tcBorders>
          <w:vAlign w:val="center"/>
        </w:tcPr>
        <w:p w14:paraId="25939E5B" w14:textId="77777777" w:rsidR="00E5152C" w:rsidRDefault="00E5152C">
          <w:pPr>
            <w:pStyle w:val="En-tte"/>
            <w:spacing w:line="240" w:lineRule="auto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Cs w:val="0"/>
            </w:rPr>
          </w:pPr>
        </w:p>
      </w:tc>
    </w:tr>
  </w:tbl>
  <w:p w14:paraId="3CAD124D" w14:textId="77777777" w:rsidR="00E5152C" w:rsidRDefault="00E5152C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32EFF"/>
    <w:multiLevelType w:val="multilevel"/>
    <w:tmpl w:val="35832EFF"/>
    <w:lvl w:ilvl="0">
      <w:start w:val="1"/>
      <w:numFmt w:val="bullet"/>
      <w:pStyle w:val="Listepuces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47583360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1E2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4E6F"/>
    <w:rsid w:val="000866A8"/>
    <w:rsid w:val="00096512"/>
    <w:rsid w:val="000A2D5F"/>
    <w:rsid w:val="000A7C99"/>
    <w:rsid w:val="000B1ABD"/>
    <w:rsid w:val="000C255A"/>
    <w:rsid w:val="000D18D9"/>
    <w:rsid w:val="000D1E4A"/>
    <w:rsid w:val="000E1225"/>
    <w:rsid w:val="000E421B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26737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5CDF"/>
    <w:rsid w:val="0019633A"/>
    <w:rsid w:val="001A349D"/>
    <w:rsid w:val="001A34F5"/>
    <w:rsid w:val="001B0F13"/>
    <w:rsid w:val="001B3531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87A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82DCC"/>
    <w:rsid w:val="002832FB"/>
    <w:rsid w:val="00287971"/>
    <w:rsid w:val="00291467"/>
    <w:rsid w:val="00294F10"/>
    <w:rsid w:val="00296BAA"/>
    <w:rsid w:val="002A34C5"/>
    <w:rsid w:val="002A5D28"/>
    <w:rsid w:val="002A751B"/>
    <w:rsid w:val="002B0488"/>
    <w:rsid w:val="002B6D34"/>
    <w:rsid w:val="002B73B7"/>
    <w:rsid w:val="002B7835"/>
    <w:rsid w:val="002C2BAB"/>
    <w:rsid w:val="002C3DEA"/>
    <w:rsid w:val="002C6268"/>
    <w:rsid w:val="002D2123"/>
    <w:rsid w:val="002E1A2B"/>
    <w:rsid w:val="002F2E57"/>
    <w:rsid w:val="002F38C4"/>
    <w:rsid w:val="002F5F52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4A5F"/>
    <w:rsid w:val="003260F0"/>
    <w:rsid w:val="00327912"/>
    <w:rsid w:val="00332D15"/>
    <w:rsid w:val="00333817"/>
    <w:rsid w:val="00336018"/>
    <w:rsid w:val="00340F8A"/>
    <w:rsid w:val="003412E5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67CC4"/>
    <w:rsid w:val="00375761"/>
    <w:rsid w:val="00375BB4"/>
    <w:rsid w:val="0037676B"/>
    <w:rsid w:val="0038180A"/>
    <w:rsid w:val="00385E6E"/>
    <w:rsid w:val="003865C3"/>
    <w:rsid w:val="00387F67"/>
    <w:rsid w:val="003A36A0"/>
    <w:rsid w:val="003A5FCB"/>
    <w:rsid w:val="003B3CF8"/>
    <w:rsid w:val="003B4A5D"/>
    <w:rsid w:val="003B7BFF"/>
    <w:rsid w:val="003C0ABB"/>
    <w:rsid w:val="003D4B9F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14390"/>
    <w:rsid w:val="0042184A"/>
    <w:rsid w:val="004225D9"/>
    <w:rsid w:val="004259B6"/>
    <w:rsid w:val="00442693"/>
    <w:rsid w:val="004442B1"/>
    <w:rsid w:val="00446874"/>
    <w:rsid w:val="00447E79"/>
    <w:rsid w:val="00454251"/>
    <w:rsid w:val="00462640"/>
    <w:rsid w:val="00463109"/>
    <w:rsid w:val="004651FD"/>
    <w:rsid w:val="00465ACC"/>
    <w:rsid w:val="004708F2"/>
    <w:rsid w:val="00482717"/>
    <w:rsid w:val="004828D3"/>
    <w:rsid w:val="004A0194"/>
    <w:rsid w:val="004B0D64"/>
    <w:rsid w:val="004B12FD"/>
    <w:rsid w:val="004B496E"/>
    <w:rsid w:val="004C0366"/>
    <w:rsid w:val="004C4DE1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2BF3"/>
    <w:rsid w:val="005230FA"/>
    <w:rsid w:val="0052578B"/>
    <w:rsid w:val="00536799"/>
    <w:rsid w:val="00537679"/>
    <w:rsid w:val="0054046A"/>
    <w:rsid w:val="00540E03"/>
    <w:rsid w:val="00542307"/>
    <w:rsid w:val="0055311E"/>
    <w:rsid w:val="00553954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37ED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3F42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138"/>
    <w:rsid w:val="00685828"/>
    <w:rsid w:val="00692DFA"/>
    <w:rsid w:val="00693157"/>
    <w:rsid w:val="0069359D"/>
    <w:rsid w:val="00694C1A"/>
    <w:rsid w:val="006A4CF4"/>
    <w:rsid w:val="006B03A9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2472"/>
    <w:rsid w:val="006F2189"/>
    <w:rsid w:val="00705EAE"/>
    <w:rsid w:val="00713A65"/>
    <w:rsid w:val="00714A55"/>
    <w:rsid w:val="00716945"/>
    <w:rsid w:val="00717A48"/>
    <w:rsid w:val="00724099"/>
    <w:rsid w:val="007258BE"/>
    <w:rsid w:val="00726EAD"/>
    <w:rsid w:val="00734ACF"/>
    <w:rsid w:val="0074392A"/>
    <w:rsid w:val="00756195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091E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2D89"/>
    <w:rsid w:val="008530CE"/>
    <w:rsid w:val="00855ABE"/>
    <w:rsid w:val="008644FB"/>
    <w:rsid w:val="0087048A"/>
    <w:rsid w:val="00871250"/>
    <w:rsid w:val="00877E5E"/>
    <w:rsid w:val="00882774"/>
    <w:rsid w:val="00884DCB"/>
    <w:rsid w:val="00890DAE"/>
    <w:rsid w:val="0089277B"/>
    <w:rsid w:val="008955CD"/>
    <w:rsid w:val="008A5391"/>
    <w:rsid w:val="008B055F"/>
    <w:rsid w:val="008B73E6"/>
    <w:rsid w:val="008C7C55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0C8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3D21"/>
    <w:rsid w:val="00A63F47"/>
    <w:rsid w:val="00A65360"/>
    <w:rsid w:val="00A706E1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3E35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77F2E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0806"/>
    <w:rsid w:val="00BC1B44"/>
    <w:rsid w:val="00BC2E1B"/>
    <w:rsid w:val="00BC5866"/>
    <w:rsid w:val="00BC5FB9"/>
    <w:rsid w:val="00BD1015"/>
    <w:rsid w:val="00BD11D2"/>
    <w:rsid w:val="00BD254C"/>
    <w:rsid w:val="00BD4C62"/>
    <w:rsid w:val="00BD594C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11DD"/>
    <w:rsid w:val="00C73A86"/>
    <w:rsid w:val="00C76996"/>
    <w:rsid w:val="00C814C2"/>
    <w:rsid w:val="00C82616"/>
    <w:rsid w:val="00C83019"/>
    <w:rsid w:val="00C85FDA"/>
    <w:rsid w:val="00C9005B"/>
    <w:rsid w:val="00CA1C8E"/>
    <w:rsid w:val="00CB06CD"/>
    <w:rsid w:val="00CB1EA3"/>
    <w:rsid w:val="00CB5C0F"/>
    <w:rsid w:val="00CB65D7"/>
    <w:rsid w:val="00CC0C13"/>
    <w:rsid w:val="00CC171A"/>
    <w:rsid w:val="00CC5C93"/>
    <w:rsid w:val="00CD39CE"/>
    <w:rsid w:val="00CE0992"/>
    <w:rsid w:val="00CE72FD"/>
    <w:rsid w:val="00CE7AEC"/>
    <w:rsid w:val="00CF65D0"/>
    <w:rsid w:val="00CF7EE2"/>
    <w:rsid w:val="00D030EF"/>
    <w:rsid w:val="00D11337"/>
    <w:rsid w:val="00D13D62"/>
    <w:rsid w:val="00D14BAD"/>
    <w:rsid w:val="00D15E6B"/>
    <w:rsid w:val="00D202F6"/>
    <w:rsid w:val="00D23A42"/>
    <w:rsid w:val="00D27DCC"/>
    <w:rsid w:val="00D3368D"/>
    <w:rsid w:val="00D3787F"/>
    <w:rsid w:val="00D47015"/>
    <w:rsid w:val="00D5268D"/>
    <w:rsid w:val="00D526AE"/>
    <w:rsid w:val="00D52E37"/>
    <w:rsid w:val="00D6150C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24D3"/>
    <w:rsid w:val="00DF79E1"/>
    <w:rsid w:val="00E14BAB"/>
    <w:rsid w:val="00E24863"/>
    <w:rsid w:val="00E24CF1"/>
    <w:rsid w:val="00E25F04"/>
    <w:rsid w:val="00E26094"/>
    <w:rsid w:val="00E315AE"/>
    <w:rsid w:val="00E3509A"/>
    <w:rsid w:val="00E401F1"/>
    <w:rsid w:val="00E424D4"/>
    <w:rsid w:val="00E5152C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2A5"/>
    <w:rsid w:val="00E73C78"/>
    <w:rsid w:val="00E74168"/>
    <w:rsid w:val="00E80178"/>
    <w:rsid w:val="00E82C1C"/>
    <w:rsid w:val="00E84B52"/>
    <w:rsid w:val="00E86CBF"/>
    <w:rsid w:val="00E87006"/>
    <w:rsid w:val="00E91722"/>
    <w:rsid w:val="00E92FBE"/>
    <w:rsid w:val="00E94DE8"/>
    <w:rsid w:val="00E9758D"/>
    <w:rsid w:val="00EA2577"/>
    <w:rsid w:val="00EA7084"/>
    <w:rsid w:val="00EB1205"/>
    <w:rsid w:val="00EB61F0"/>
    <w:rsid w:val="00EB6C6A"/>
    <w:rsid w:val="00EC1513"/>
    <w:rsid w:val="00EC23D0"/>
    <w:rsid w:val="00EC742A"/>
    <w:rsid w:val="00EC778A"/>
    <w:rsid w:val="00ED3E91"/>
    <w:rsid w:val="00ED7495"/>
    <w:rsid w:val="00EE1FF2"/>
    <w:rsid w:val="00EF0CD9"/>
    <w:rsid w:val="00EF2281"/>
    <w:rsid w:val="00EF52EC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1D13"/>
    <w:rsid w:val="00F43399"/>
    <w:rsid w:val="00F458B7"/>
    <w:rsid w:val="00F46159"/>
    <w:rsid w:val="00F46317"/>
    <w:rsid w:val="00F507CA"/>
    <w:rsid w:val="00F53736"/>
    <w:rsid w:val="00F6063F"/>
    <w:rsid w:val="00F60A8F"/>
    <w:rsid w:val="00F64D96"/>
    <w:rsid w:val="00F65A73"/>
    <w:rsid w:val="00F67617"/>
    <w:rsid w:val="00F67C4C"/>
    <w:rsid w:val="00F75557"/>
    <w:rsid w:val="00F77FC2"/>
    <w:rsid w:val="00F810F6"/>
    <w:rsid w:val="00F84165"/>
    <w:rsid w:val="00F848EC"/>
    <w:rsid w:val="00F84BCB"/>
    <w:rsid w:val="00F86BC9"/>
    <w:rsid w:val="00F87649"/>
    <w:rsid w:val="00F9303C"/>
    <w:rsid w:val="00FA3AC3"/>
    <w:rsid w:val="00FA763B"/>
    <w:rsid w:val="00FB32F9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793F"/>
    <w:rsid w:val="63FA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E456"/>
  <w15:docId w15:val="{6BB4B1FF-1F91-4268-9A97-4D5DED33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59" w:lineRule="auto"/>
      <w:ind w:firstLine="284"/>
      <w:jc w:val="both"/>
    </w:pPr>
    <w:rPr>
      <w:rFonts w:ascii="Minion Pro" w:hAnsi="Minion Pro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qFormat/>
    <w:rPr>
      <w:vertAlign w:val="superscript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rFonts w:eastAsiaTheme="minorEastAsia"/>
      <w:i/>
      <w:color w:val="8064A2" w:themeColor="accent4"/>
      <w:sz w:val="28"/>
    </w:rPr>
  </w:style>
  <w:style w:type="paragraph" w:styleId="Listepuces2">
    <w:name w:val="List Bullet 2"/>
    <w:basedOn w:val="Normal"/>
    <w:autoRedefine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paragraph" w:styleId="Notedebasdepage">
    <w:name w:val="footnote text"/>
    <w:basedOn w:val="Normal"/>
    <w:link w:val="NotedebasdepageCar"/>
    <w:uiPriority w:val="99"/>
    <w:unhideWhenUsed/>
    <w:qFormat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paragraph" w:styleId="Retraitcorpsdetexte">
    <w:name w:val="Body Text Indent"/>
    <w:basedOn w:val="Normal"/>
    <w:link w:val="RetraitcorpsdetexteCar"/>
    <w:semiHidden/>
    <w:qFormat/>
    <w:rPr>
      <w:rFonts w:eastAsia="Times New Roman" w:cs="Times New Roman"/>
      <w:b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Retraitcorpsdetexte2">
    <w:name w:val="Body Text Indent 2"/>
    <w:basedOn w:val="Normal"/>
    <w:link w:val="Retraitcorpsdetexte2Car"/>
    <w:semiHidden/>
    <w:pPr>
      <w:ind w:firstLine="709"/>
    </w:pPr>
    <w:rPr>
      <w:rFonts w:eastAsia="Times New Roman" w:cs="Times New Roman"/>
      <w:b/>
      <w:szCs w:val="20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pPr>
      <w:tabs>
        <w:tab w:val="right" w:leader="dot" w:pos="9062"/>
      </w:tabs>
      <w:spacing w:after="100"/>
      <w:ind w:left="440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paragraph" w:styleId="TM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itre">
    <w:name w:val="Title"/>
    <w:basedOn w:val="Normal"/>
    <w:next w:val="Normal"/>
    <w:link w:val="TitreCar"/>
    <w:uiPriority w:val="10"/>
    <w:qFormat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pPr>
      <w:spacing w:after="100"/>
    </w:pPr>
  </w:style>
  <w:style w:type="character" w:customStyle="1" w:styleId="TitreCar">
    <w:name w:val="Titre Car"/>
    <w:basedOn w:val="Policepardfaut"/>
    <w:link w:val="Titre"/>
    <w:uiPriority w:val="10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character" w:customStyle="1" w:styleId="apple-converted-space">
    <w:name w:val="apple-converted-space"/>
    <w:basedOn w:val="Policepardfaut"/>
    <w:qFormat/>
  </w:style>
  <w:style w:type="character" w:customStyle="1" w:styleId="object">
    <w:name w:val="object"/>
    <w:basedOn w:val="Policepardfaut"/>
    <w:qFormat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style-span">
    <w:name w:val="apple-style-span"/>
    <w:basedOn w:val="Policepardfaut"/>
    <w:qFormat/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Pr>
      <w:sz w:val="20"/>
      <w:szCs w:val="20"/>
    </w:rPr>
  </w:style>
  <w:style w:type="paragraph" w:customStyle="1" w:styleId="En-ttedetabledesmatires1">
    <w:name w:val="En-tête de table des matières1"/>
    <w:basedOn w:val="Titre1"/>
    <w:next w:val="Normal"/>
    <w:uiPriority w:val="39"/>
    <w:unhideWhenUsed/>
    <w:qFormat/>
    <w:pPr>
      <w:outlineLvl w:val="9"/>
    </w:pPr>
  </w:style>
  <w:style w:type="character" w:customStyle="1" w:styleId="Sous-titreCar">
    <w:name w:val="Sous-titre Car"/>
    <w:basedOn w:val="Policepardfaut"/>
    <w:link w:val="Sous-titre"/>
    <w:uiPriority w:val="11"/>
    <w:qFormat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table" w:customStyle="1" w:styleId="TableauGrille1Clair-Accentuation41">
    <w:name w:val="Tableau Grille 1 Clair - Accentuation 41"/>
    <w:basedOn w:val="TableauNormal"/>
    <w:uiPriority w:val="46"/>
    <w:tblPr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table" w:customStyle="1" w:styleId="Grilledetableauclaire1">
    <w:name w:val="Grille de tableau claire1"/>
    <w:basedOn w:val="TableauNormal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RetraitcorpsdetexteCar">
    <w:name w:val="Retrait corps de texte Car"/>
    <w:basedOn w:val="Policepardfaut"/>
    <w:link w:val="Retraitcorpsdetexte"/>
    <w:semiHidden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F3865-FEDC-4114-A8B2-EB6748B3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</dc:creator>
  <cp:lastModifiedBy>Lauriane Le Flour</cp:lastModifiedBy>
  <cp:revision>3</cp:revision>
  <cp:lastPrinted>2017-02-14T16:34:00Z</cp:lastPrinted>
  <dcterms:created xsi:type="dcterms:W3CDTF">2025-02-17T14:40:00Z</dcterms:created>
  <dcterms:modified xsi:type="dcterms:W3CDTF">2026-02-04T13:53:00Z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32BA023EE81941CDB48E441B4B729224_13</vt:lpwstr>
  </property>
</Properties>
</file>