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9544" w14:textId="77777777" w:rsidR="001E6F8C" w:rsidRPr="004B2F9F" w:rsidRDefault="001E6F8C" w:rsidP="00F014F8">
      <w:pPr>
        <w:pStyle w:val="Titre1"/>
        <w:spacing w:before="0"/>
      </w:pPr>
      <w:r w:rsidRPr="004B2F9F">
        <w:t>Objet</w:t>
      </w:r>
    </w:p>
    <w:p w14:paraId="34373DC0" w14:textId="390F2BD7" w:rsidR="001E6F8C" w:rsidRPr="00F014F8" w:rsidRDefault="001E6F8C" w:rsidP="00F014F8">
      <w:r w:rsidRPr="00F014F8">
        <w:t>Ce mode opératoire décrit les dispositions relatives au tri des factures garants pour les prestations en ambulatoire</w:t>
      </w:r>
      <w:r w:rsidR="00DA0DDA" w:rsidRPr="00F014F8">
        <w:t xml:space="preserve"> et les hospitalisations</w:t>
      </w:r>
      <w:r w:rsidRPr="00F014F8">
        <w:t>.</w:t>
      </w:r>
    </w:p>
    <w:p w14:paraId="4648C5BE" w14:textId="77777777" w:rsidR="001E6F8C" w:rsidRPr="004B2F9F" w:rsidRDefault="001E6F8C" w:rsidP="00F014F8">
      <w:pPr>
        <w:pStyle w:val="Titre1"/>
      </w:pPr>
      <w:r w:rsidRPr="004B2F9F">
        <w:t>Domaine d’application</w:t>
      </w:r>
    </w:p>
    <w:p w14:paraId="70D6DF70" w14:textId="424E90F5" w:rsidR="001E6F8C" w:rsidRPr="004B2F9F" w:rsidRDefault="001E6F8C" w:rsidP="00F014F8">
      <w:r w:rsidRPr="004B2F9F">
        <w:t>Ce présent mode opératoire s’applique à l’accueil de la clinique et du plateau médical.</w:t>
      </w:r>
    </w:p>
    <w:p w14:paraId="7E46CE95" w14:textId="77777777" w:rsidR="001E6F8C" w:rsidRPr="004B2F9F" w:rsidRDefault="001E6F8C" w:rsidP="00F014F8">
      <w:pPr>
        <w:pStyle w:val="Titre1"/>
      </w:pPr>
      <w:r w:rsidRPr="004B2F9F">
        <w:t>Responsabilité</w:t>
      </w:r>
    </w:p>
    <w:p w14:paraId="7D7036EA" w14:textId="6E6EF219" w:rsidR="001E6F8C" w:rsidRPr="004B2F9F" w:rsidRDefault="001E6F8C" w:rsidP="00F014F8">
      <w:r w:rsidRPr="004B2F9F">
        <w:t>Le pilote du processus Encaissement, Facturation et Recouvrement est chargé de l’application de c</w:t>
      </w:r>
      <w:r w:rsidR="006856AC" w:rsidRPr="004B2F9F">
        <w:t>e mode opératoire.</w:t>
      </w:r>
    </w:p>
    <w:p w14:paraId="54F7BAE6" w14:textId="77777777" w:rsidR="001E6F8C" w:rsidRPr="004B2F9F" w:rsidRDefault="001E6F8C" w:rsidP="00F014F8">
      <w:pPr>
        <w:pStyle w:val="Titre1"/>
      </w:pPr>
      <w:r w:rsidRPr="004B2F9F">
        <w:t>Description du mode opératoire</w:t>
      </w:r>
    </w:p>
    <w:p w14:paraId="3EC9E831" w14:textId="77777777" w:rsidR="001E6F8C" w:rsidRPr="004B2F9F" w:rsidRDefault="001E6F8C" w:rsidP="00F014F8">
      <w:pPr>
        <w:pStyle w:val="Titre2"/>
      </w:pPr>
      <w:r w:rsidRPr="004B2F9F">
        <w:t>Pour l’ambulatoire</w:t>
      </w:r>
    </w:p>
    <w:p w14:paraId="40E23DE2" w14:textId="37ECCCD0" w:rsidR="00D553F3" w:rsidRPr="004B2F9F" w:rsidRDefault="001545AA" w:rsidP="00F014F8">
      <w:r w:rsidRPr="004B2F9F">
        <w:rPr>
          <w:lang w:eastAsia="fr-FR"/>
        </w:rPr>
        <w:t>Le tri est fait au niveau du service facturation</w:t>
      </w:r>
      <w:r w:rsidR="00AE748B" w:rsidRPr="004B2F9F">
        <w:rPr>
          <w:lang w:eastAsia="fr-FR"/>
        </w:rPr>
        <w:t xml:space="preserve"> par les assistants facturations</w:t>
      </w:r>
      <w:r w:rsidR="00930AF4" w:rsidRPr="004B2F9F">
        <w:rPr>
          <w:lang w:eastAsia="fr-FR"/>
        </w:rPr>
        <w:t xml:space="preserve">. Lorsque les lettres de garantie sont reçues, elles sont stockées non triées dans un espace sécurisé. Elles sont ensuite </w:t>
      </w:r>
      <w:r w:rsidRPr="004B2F9F">
        <w:t>triées par garant</w:t>
      </w:r>
      <w:r w:rsidR="00930AF4" w:rsidRPr="004B2F9F">
        <w:t xml:space="preserve"> (et selon les critères définis plus bas) au moment de la facturation.</w:t>
      </w:r>
    </w:p>
    <w:p w14:paraId="6FB9DC9C" w14:textId="3EA6918B" w:rsidR="00D76C87" w:rsidRPr="004B2F9F" w:rsidRDefault="00D76C87" w:rsidP="00F014F8">
      <w:r w:rsidRPr="004B2F9F">
        <w:t>Critères de tri :</w:t>
      </w:r>
    </w:p>
    <w:p w14:paraId="4851338C" w14:textId="1F3706A1" w:rsidR="00D76C87" w:rsidRPr="004B2F9F" w:rsidRDefault="00D76C87" w:rsidP="00F014F8">
      <w:pPr>
        <w:pStyle w:val="Paragraphedeliste"/>
        <w:numPr>
          <w:ilvl w:val="0"/>
          <w:numId w:val="4"/>
        </w:numPr>
      </w:pPr>
      <w:r w:rsidRPr="004B2F9F">
        <w:t>Par sociétés p</w:t>
      </w:r>
      <w:r w:rsidR="000D0D33" w:rsidRPr="004B2F9F">
        <w:t>our :</w:t>
      </w:r>
      <w:r w:rsidR="0030565B" w:rsidRPr="004B2F9F">
        <w:rPr>
          <w:color w:val="FF0000"/>
        </w:rPr>
        <w:t xml:space="preserve"> </w:t>
      </w:r>
      <w:r w:rsidR="0030565B" w:rsidRPr="004B2F9F">
        <w:rPr>
          <w:color w:val="000000" w:themeColor="text1"/>
        </w:rPr>
        <w:t>WILLIS TOWERS WATSON</w:t>
      </w:r>
      <w:r w:rsidRPr="004B2F9F">
        <w:t>, AXA, SONAM</w:t>
      </w:r>
      <w:r w:rsidR="00991F35">
        <w:t xml:space="preserve"> et </w:t>
      </w:r>
      <w:r w:rsidRPr="004B2F9F">
        <w:t>PRÉVOYANCE ASSURANCE</w:t>
      </w:r>
      <w:r w:rsidR="00080809">
        <w:rPr>
          <w:color w:val="000000" w:themeColor="text1"/>
        </w:rPr>
        <w:t xml:space="preserve"> (et autres si nécessaire)</w:t>
      </w:r>
    </w:p>
    <w:p w14:paraId="6E336AD5" w14:textId="0A55549B" w:rsidR="00D76C87" w:rsidRPr="004B2F9F" w:rsidRDefault="00D76C87" w:rsidP="00F014F8">
      <w:pPr>
        <w:pStyle w:val="Paragraphedeliste"/>
        <w:numPr>
          <w:ilvl w:val="0"/>
          <w:numId w:val="4"/>
        </w:numPr>
      </w:pPr>
      <w:r w:rsidRPr="004B2F9F">
        <w:t>Par pourcentage pour : ASCOMA et SA</w:t>
      </w:r>
      <w:r w:rsidR="00991F35">
        <w:t>NLAM ALLIANZ</w:t>
      </w:r>
      <w:r w:rsidR="00080809">
        <w:t xml:space="preserve"> </w:t>
      </w:r>
      <w:r w:rsidR="00080809">
        <w:rPr>
          <w:color w:val="000000" w:themeColor="text1"/>
        </w:rPr>
        <w:t>(et autres si nécessaire)</w:t>
      </w:r>
    </w:p>
    <w:p w14:paraId="408B35BF" w14:textId="334ECDEA" w:rsidR="00237810" w:rsidRDefault="00D76C87" w:rsidP="00F014F8">
      <w:pPr>
        <w:pStyle w:val="Paragraphedeliste"/>
        <w:numPr>
          <w:ilvl w:val="0"/>
          <w:numId w:val="4"/>
        </w:numPr>
      </w:pPr>
      <w:r w:rsidRPr="004B2F9F">
        <w:t>Par garant pour les autres (IPM)</w:t>
      </w:r>
      <w:r w:rsidR="00080809">
        <w:t xml:space="preserve"> </w:t>
      </w:r>
    </w:p>
    <w:p w14:paraId="6CE70747" w14:textId="068EBD7C" w:rsidR="00991F35" w:rsidRPr="004B2F9F" w:rsidRDefault="00991F35" w:rsidP="00991F35">
      <w:pPr>
        <w:pStyle w:val="Paragraphedeliste"/>
        <w:numPr>
          <w:ilvl w:val="0"/>
          <w:numId w:val="4"/>
        </w:numPr>
        <w:rPr>
          <w:lang w:eastAsia="fr-FR"/>
        </w:rPr>
      </w:pPr>
      <w:r>
        <w:rPr>
          <w:lang w:eastAsia="fr-FR"/>
        </w:rPr>
        <w:t>NB : Pour certains garants, le tri est effectué de façon électronique (applications mobiles). C’est le cas par exemple de ASKIA, SURA et MADGID.</w:t>
      </w:r>
    </w:p>
    <w:p w14:paraId="3AF556FF" w14:textId="451C4233" w:rsidR="001E6F8C" w:rsidRPr="004B2F9F" w:rsidRDefault="001E6F8C" w:rsidP="00F014F8">
      <w:pPr>
        <w:pStyle w:val="Titre2"/>
      </w:pPr>
      <w:r w:rsidRPr="004B2F9F">
        <w:t>Pour les hospitalisations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2083"/>
        <w:gridCol w:w="4204"/>
        <w:gridCol w:w="3064"/>
      </w:tblGrid>
      <w:tr w:rsidR="001E6F8C" w:rsidRPr="004B2F9F" w14:paraId="441B8E87" w14:textId="77777777" w:rsidTr="004B2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173AC4" w14:textId="77777777" w:rsidR="001E6F8C" w:rsidRPr="004B2F9F" w:rsidRDefault="001E6F8C" w:rsidP="00F014F8">
            <w:pPr>
              <w:rPr>
                <w:b w:val="0"/>
              </w:rPr>
            </w:pPr>
            <w:r w:rsidRPr="004B2F9F">
              <w:t>Acteur</w:t>
            </w:r>
          </w:p>
        </w:tc>
        <w:tc>
          <w:tcPr>
            <w:tcW w:w="4678" w:type="dxa"/>
          </w:tcPr>
          <w:p w14:paraId="23367202" w14:textId="77777777" w:rsidR="001E6F8C" w:rsidRPr="004B2F9F" w:rsidRDefault="001E6F8C" w:rsidP="00F014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2F9F">
              <w:t>Action</w:t>
            </w:r>
          </w:p>
        </w:tc>
        <w:tc>
          <w:tcPr>
            <w:tcW w:w="3260" w:type="dxa"/>
          </w:tcPr>
          <w:p w14:paraId="7AC0737D" w14:textId="77777777" w:rsidR="001E6F8C" w:rsidRPr="004B2F9F" w:rsidRDefault="001E6F8C" w:rsidP="00F014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B2F9F">
              <w:t>Commentaire</w:t>
            </w:r>
          </w:p>
        </w:tc>
      </w:tr>
      <w:tr w:rsidR="001E6F8C" w:rsidRPr="004B2F9F" w14:paraId="4AFB3FB1" w14:textId="77777777" w:rsidTr="004B2F9F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0379E4B" w14:textId="1651BFB9" w:rsidR="001E6F8C" w:rsidRPr="004B2F9F" w:rsidRDefault="001E6F8C" w:rsidP="00F014F8">
            <w:r w:rsidRPr="004B2F9F">
              <w:t>Secrétaire</w:t>
            </w:r>
            <w:r w:rsidR="00080809">
              <w:t xml:space="preserve"> médicale/caissier</w:t>
            </w:r>
          </w:p>
        </w:tc>
        <w:tc>
          <w:tcPr>
            <w:tcW w:w="4678" w:type="dxa"/>
          </w:tcPr>
          <w:p w14:paraId="20C08781" w14:textId="069B6AAC" w:rsidR="001E6F8C" w:rsidRPr="004B2F9F" w:rsidRDefault="001E6F8C" w:rsidP="003044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>A chaque admission de patient, ouvr</w:t>
            </w:r>
            <w:r w:rsidR="00080809">
              <w:t>ir</w:t>
            </w:r>
            <w:r w:rsidRPr="004B2F9F">
              <w:t xml:space="preserve"> une chemise pour y ranger tous les documents le concernant, en l’occurrence la lettre de garantie et au fil des jours, les notes d’honoraires, fiche d’admission, etc…</w:t>
            </w:r>
          </w:p>
        </w:tc>
        <w:tc>
          <w:tcPr>
            <w:tcW w:w="3260" w:type="dxa"/>
          </w:tcPr>
          <w:p w14:paraId="151B14D7" w14:textId="77777777" w:rsidR="001E6F8C" w:rsidRPr="004B2F9F" w:rsidRDefault="001E6F8C" w:rsidP="00F0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6F8C" w:rsidRPr="004B2F9F" w14:paraId="2DBFFAAE" w14:textId="77777777" w:rsidTr="004B2F9F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C73CFF" w14:textId="7393CE0D" w:rsidR="001E6F8C" w:rsidRPr="004B2F9F" w:rsidRDefault="001E6F8C" w:rsidP="00F014F8">
            <w:r w:rsidRPr="004B2F9F">
              <w:lastRenderedPageBreak/>
              <w:t>Secrétaire</w:t>
            </w:r>
            <w:r w:rsidR="00080809">
              <w:t xml:space="preserve"> médicale/caissier</w:t>
            </w:r>
          </w:p>
        </w:tc>
        <w:tc>
          <w:tcPr>
            <w:tcW w:w="4678" w:type="dxa"/>
          </w:tcPr>
          <w:p w14:paraId="2D7BD85B" w14:textId="1357E9FB" w:rsidR="001E6F8C" w:rsidRPr="004B2F9F" w:rsidRDefault="001E6F8C" w:rsidP="003044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>A la sortie du patient, rassemble</w:t>
            </w:r>
            <w:r w:rsidR="00080809">
              <w:t>r</w:t>
            </w:r>
            <w:r w:rsidRPr="004B2F9F">
              <w:t xml:space="preserve"> tous les </w:t>
            </w:r>
            <w:r w:rsidR="001545AA" w:rsidRPr="004B2F9F">
              <w:t>documents concernant la facturation et les remet</w:t>
            </w:r>
            <w:r w:rsidR="00080809">
              <w:t>tre</w:t>
            </w:r>
            <w:r w:rsidR="001545AA" w:rsidRPr="004B2F9F">
              <w:t xml:space="preserve"> au service facturation </w:t>
            </w:r>
            <w:r w:rsidR="00FF2C64" w:rsidRPr="004B2F9F">
              <w:t>à la sortie du patient.</w:t>
            </w:r>
          </w:p>
        </w:tc>
        <w:tc>
          <w:tcPr>
            <w:tcW w:w="3260" w:type="dxa"/>
          </w:tcPr>
          <w:p w14:paraId="0327ED1C" w14:textId="2F56C37C" w:rsidR="001E6F8C" w:rsidRPr="004B2F9F" w:rsidRDefault="001E6F8C" w:rsidP="00F014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F9F">
              <w:t xml:space="preserve">Cf. mode opératoire </w:t>
            </w:r>
            <w:r w:rsidR="00FF2C64" w:rsidRPr="004B2F9F">
              <w:t>de transmission de dossiers</w:t>
            </w:r>
          </w:p>
        </w:tc>
      </w:tr>
    </w:tbl>
    <w:p w14:paraId="67DA3601" w14:textId="4D1EF6BF" w:rsidR="001E6F8C" w:rsidRDefault="001E6F8C" w:rsidP="00F014F8">
      <w:pPr>
        <w:pStyle w:val="Titre2"/>
        <w:rPr>
          <w:sz w:val="8"/>
          <w:szCs w:val="8"/>
        </w:rPr>
      </w:pPr>
    </w:p>
    <w:p w14:paraId="33DEA7D0" w14:textId="0DA9B011" w:rsidR="00991F35" w:rsidRPr="003044DA" w:rsidRDefault="00991F35" w:rsidP="003044DA"/>
    <w:sectPr w:rsidR="00991F35" w:rsidRPr="003044DA" w:rsidSect="000379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91D1" w14:textId="77777777" w:rsidR="0052683A" w:rsidRDefault="0052683A" w:rsidP="00F014F8">
      <w:r>
        <w:separator/>
      </w:r>
    </w:p>
  </w:endnote>
  <w:endnote w:type="continuationSeparator" w:id="0">
    <w:p w14:paraId="35B92541" w14:textId="77777777" w:rsidR="0052683A" w:rsidRDefault="0052683A" w:rsidP="00F0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3805" w14:textId="77777777" w:rsidR="0052683A" w:rsidRDefault="0052683A" w:rsidP="00F014F8">
      <w:r>
        <w:separator/>
      </w:r>
    </w:p>
  </w:footnote>
  <w:footnote w:type="continuationSeparator" w:id="0">
    <w:p w14:paraId="3DB2A16E" w14:textId="77777777" w:rsidR="0052683A" w:rsidRDefault="0052683A" w:rsidP="00F0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8983" w:type="dxa"/>
      <w:tblLook w:val="04A0" w:firstRow="1" w:lastRow="0" w:firstColumn="1" w:lastColumn="0" w:noHBand="0" w:noVBand="1"/>
    </w:tblPr>
    <w:tblGrid>
      <w:gridCol w:w="2332"/>
      <w:gridCol w:w="4302"/>
      <w:gridCol w:w="2349"/>
    </w:tblGrid>
    <w:tr w:rsidR="004B2F9F" w:rsidRPr="004B2F9F" w14:paraId="49A0451A" w14:textId="77777777" w:rsidTr="004B2F9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32" w:type="dxa"/>
          <w:vAlign w:val="center"/>
        </w:tcPr>
        <w:p w14:paraId="2D11004B" w14:textId="4BCCAD79" w:rsidR="00503984" w:rsidRPr="00F014F8" w:rsidRDefault="004B2F9F" w:rsidP="00F014F8">
          <w:pPr>
            <w:pStyle w:val="En-tte"/>
            <w:jc w:val="center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noProof/>
              <w:color w:val="752864" w:themeColor="accent1"/>
              <w:sz w:val="24"/>
              <w:szCs w:val="24"/>
            </w:rPr>
            <w:drawing>
              <wp:inline distT="0" distB="0" distL="0" distR="0" wp14:anchorId="0627D71F" wp14:editId="5CBF43E7">
                <wp:extent cx="942468" cy="633046"/>
                <wp:effectExtent l="0" t="0" r="0" b="0"/>
                <wp:docPr id="126143900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3900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303" cy="648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2" w:type="dxa"/>
          <w:vAlign w:val="center"/>
        </w:tcPr>
        <w:p w14:paraId="0044F91E" w14:textId="77777777" w:rsidR="00503984" w:rsidRPr="00F014F8" w:rsidRDefault="00453AE1" w:rsidP="00F014F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b w:val="0"/>
              <w:bCs w:val="0"/>
              <w:color w:val="752864" w:themeColor="accent1"/>
              <w:sz w:val="24"/>
              <w:szCs w:val="24"/>
            </w:rPr>
            <w:t>Mode opératoire</w:t>
          </w:r>
        </w:p>
        <w:p w14:paraId="7115AC64" w14:textId="77777777" w:rsidR="00503984" w:rsidRPr="00F014F8" w:rsidRDefault="00453AE1" w:rsidP="00F014F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752864" w:themeColor="accent1"/>
              <w:sz w:val="24"/>
              <w:szCs w:val="24"/>
            </w:rPr>
          </w:pPr>
          <w:r w:rsidRPr="00F014F8">
            <w:rPr>
              <w:b w:val="0"/>
              <w:bCs w:val="0"/>
              <w:color w:val="752864" w:themeColor="accent1"/>
              <w:sz w:val="24"/>
              <w:szCs w:val="24"/>
            </w:rPr>
            <w:t>Tri des factures garants</w:t>
          </w:r>
        </w:p>
      </w:tc>
      <w:tc>
        <w:tcPr>
          <w:tcW w:w="2349" w:type="dxa"/>
          <w:vAlign w:val="center"/>
        </w:tcPr>
        <w:p w14:paraId="39749C63" w14:textId="10E8775B" w:rsidR="00503984" w:rsidRPr="004B2F9F" w:rsidRDefault="00453AE1" w:rsidP="00F014F8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4B2F9F">
            <w:t xml:space="preserve">Page : </w:t>
          </w:r>
          <w:r w:rsidRPr="004B2F9F">
            <w:fldChar w:fldCharType="begin"/>
          </w:r>
          <w:r w:rsidRPr="004B2F9F">
            <w:instrText>PAGE   \* MERGEFORMAT</w:instrText>
          </w:r>
          <w:r w:rsidRPr="004B2F9F">
            <w:fldChar w:fldCharType="separate"/>
          </w:r>
          <w:r w:rsidR="000D0D33" w:rsidRPr="004B2F9F">
            <w:rPr>
              <w:noProof/>
            </w:rPr>
            <w:t>1</w:t>
          </w:r>
          <w:r w:rsidRPr="004B2F9F">
            <w:fldChar w:fldCharType="end"/>
          </w:r>
        </w:p>
      </w:tc>
    </w:tr>
  </w:tbl>
  <w:p w14:paraId="2487C6B2" w14:textId="77777777" w:rsidR="00503984" w:rsidRPr="00F014F8" w:rsidRDefault="00503984" w:rsidP="00F014F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72A6"/>
    <w:multiLevelType w:val="hybridMultilevel"/>
    <w:tmpl w:val="3828E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56BF0"/>
    <w:multiLevelType w:val="hybridMultilevel"/>
    <w:tmpl w:val="EFAAF228"/>
    <w:lvl w:ilvl="0" w:tplc="30988C96">
      <w:start w:val="15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D49D1"/>
    <w:multiLevelType w:val="hybridMultilevel"/>
    <w:tmpl w:val="EB4C6DCC"/>
    <w:lvl w:ilvl="0" w:tplc="1876CA9A">
      <w:numFmt w:val="bullet"/>
      <w:lvlText w:val="-"/>
      <w:lvlJc w:val="left"/>
      <w:pPr>
        <w:ind w:left="100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53B44C2"/>
    <w:multiLevelType w:val="hybridMultilevel"/>
    <w:tmpl w:val="4ABA2E04"/>
    <w:lvl w:ilvl="0" w:tplc="75584F8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3986334">
    <w:abstractNumId w:val="1"/>
  </w:num>
  <w:num w:numId="2" w16cid:durableId="1174416913">
    <w:abstractNumId w:val="3"/>
  </w:num>
  <w:num w:numId="3" w16cid:durableId="1022897750">
    <w:abstractNumId w:val="2"/>
  </w:num>
  <w:num w:numId="4" w16cid:durableId="104972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8C"/>
    <w:rsid w:val="0003799D"/>
    <w:rsid w:val="00080809"/>
    <w:rsid w:val="000C05D0"/>
    <w:rsid w:val="000D0D33"/>
    <w:rsid w:val="000E64E2"/>
    <w:rsid w:val="001545AA"/>
    <w:rsid w:val="001E6F8C"/>
    <w:rsid w:val="00237810"/>
    <w:rsid w:val="00273E12"/>
    <w:rsid w:val="003044DA"/>
    <w:rsid w:val="0030565B"/>
    <w:rsid w:val="00453AE1"/>
    <w:rsid w:val="00464264"/>
    <w:rsid w:val="004B2F9F"/>
    <w:rsid w:val="00503984"/>
    <w:rsid w:val="0052683A"/>
    <w:rsid w:val="006856AC"/>
    <w:rsid w:val="00725D9F"/>
    <w:rsid w:val="00734630"/>
    <w:rsid w:val="007B7D1D"/>
    <w:rsid w:val="008C04BA"/>
    <w:rsid w:val="008C2303"/>
    <w:rsid w:val="00930AF4"/>
    <w:rsid w:val="00984858"/>
    <w:rsid w:val="00991F35"/>
    <w:rsid w:val="00A04C16"/>
    <w:rsid w:val="00A97191"/>
    <w:rsid w:val="00AE748B"/>
    <w:rsid w:val="00AF6CBE"/>
    <w:rsid w:val="00B310F9"/>
    <w:rsid w:val="00B67DF8"/>
    <w:rsid w:val="00C5727D"/>
    <w:rsid w:val="00D553F3"/>
    <w:rsid w:val="00D76C87"/>
    <w:rsid w:val="00DA0DDA"/>
    <w:rsid w:val="00DD70D4"/>
    <w:rsid w:val="00EB6F89"/>
    <w:rsid w:val="00F014F8"/>
    <w:rsid w:val="00F10647"/>
    <w:rsid w:val="00F558C7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59DD3"/>
  <w15:chartTrackingRefBased/>
  <w15:docId w15:val="{C87172E4-FD70-4E0F-B079-D8C73DE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F8"/>
    <w:pPr>
      <w:spacing w:before="120" w:after="120"/>
      <w:ind w:firstLine="284"/>
      <w:jc w:val="both"/>
    </w:pPr>
    <w:rPr>
      <w:rFonts w:ascii="Poppins" w:hAnsi="Poppins" w:cs="Poppins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B2F9F"/>
    <w:pPr>
      <w:keepNext/>
      <w:keepLines/>
      <w:spacing w:before="240"/>
      <w:jc w:val="left"/>
      <w:outlineLvl w:val="0"/>
    </w:pPr>
    <w:rPr>
      <w:rFonts w:eastAsiaTheme="majorEastAsia"/>
      <w:color w:val="752864" w:themeColor="accent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2F9F"/>
    <w:pPr>
      <w:keepNext/>
      <w:keepLines/>
      <w:spacing w:before="40" w:line="240" w:lineRule="auto"/>
      <w:ind w:firstLine="0"/>
      <w:outlineLvl w:val="1"/>
    </w:pPr>
    <w:rPr>
      <w:rFonts w:eastAsiaTheme="majorEastAsia"/>
      <w:color w:val="7BBBB2" w:themeColor="accent3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F9F"/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B2F9F"/>
    <w:rPr>
      <w:rFonts w:ascii="Poppins" w:eastAsiaTheme="majorEastAsia" w:hAnsi="Poppins" w:cs="Poppins"/>
      <w:color w:val="7BBBB2" w:themeColor="accent3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E6F8C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E6F8C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6F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6F8C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1E6F8C"/>
    <w:pPr>
      <w:ind w:left="720"/>
      <w:contextualSpacing/>
    </w:pPr>
  </w:style>
  <w:style w:type="table" w:styleId="TableauGrille1Clair-Accentuation4">
    <w:name w:val="Grid Table 1 Light Accent 4"/>
    <w:basedOn w:val="TableauNormal"/>
    <w:uiPriority w:val="46"/>
    <w:rsid w:val="001E6F8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0E64E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4E2"/>
    <w:rPr>
      <w:rFonts w:ascii="Minion Pro" w:hAnsi="Minion Pro"/>
    </w:rPr>
  </w:style>
  <w:style w:type="table" w:styleId="TableauGrille1Clair-Accentuation2">
    <w:name w:val="Grid Table 1 Light Accent 2"/>
    <w:basedOn w:val="TableauNormal"/>
    <w:uiPriority w:val="46"/>
    <w:rsid w:val="004B2F9F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080809"/>
    <w:pPr>
      <w:spacing w:after="0" w:line="240" w:lineRule="auto"/>
    </w:pPr>
    <w:rPr>
      <w:rFonts w:ascii="Poppins" w:hAnsi="Poppins" w:cs="Poppi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Mamoudou DIALLO</cp:lastModifiedBy>
  <cp:revision>24</cp:revision>
  <dcterms:created xsi:type="dcterms:W3CDTF">2018-07-09T09:33:00Z</dcterms:created>
  <dcterms:modified xsi:type="dcterms:W3CDTF">2026-03-06T16:22:00Z</dcterms:modified>
</cp:coreProperties>
</file>