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83" w:rsidRPr="00252A55" w:rsidRDefault="00EF1983" w:rsidP="00EF1983">
      <w:pPr>
        <w:rPr>
          <w:rFonts w:ascii="Minion Pro" w:hAnsi="Minion Pro"/>
        </w:rPr>
      </w:pPr>
    </w:p>
    <w:p w:rsidR="004C1E7F" w:rsidRPr="00252A55" w:rsidRDefault="0061148C" w:rsidP="005B740A">
      <w:pPr>
        <w:pStyle w:val="Titre"/>
        <w:ind w:firstLine="0"/>
      </w:pPr>
      <w:r w:rsidRPr="00252A55">
        <w:t>PLAN DE COMMUNICATION INTERNE</w:t>
      </w:r>
    </w:p>
    <w:p w:rsidR="004C1E7F" w:rsidRPr="00252A55" w:rsidRDefault="004C1E7F" w:rsidP="005B740A">
      <w:pPr>
        <w:spacing w:after="0" w:line="240" w:lineRule="auto"/>
        <w:rPr>
          <w:rFonts w:ascii="Minion Pro" w:hAnsi="Minion Pro"/>
        </w:rPr>
      </w:pPr>
    </w:p>
    <w:tbl>
      <w:tblPr>
        <w:tblStyle w:val="TableauGrille1Clair-Accentuation42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2155"/>
        <w:gridCol w:w="3373"/>
        <w:gridCol w:w="2268"/>
        <w:gridCol w:w="2410"/>
        <w:gridCol w:w="1559"/>
        <w:gridCol w:w="1872"/>
      </w:tblGrid>
      <w:tr w:rsidR="0029684C" w:rsidRPr="00252A55" w:rsidTr="00CE5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4264F" w:rsidRPr="00252A55" w:rsidRDefault="00E4264F" w:rsidP="005B740A">
            <w:pPr>
              <w:jc w:val="center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Cibles</w:t>
            </w:r>
          </w:p>
        </w:tc>
        <w:tc>
          <w:tcPr>
            <w:tcW w:w="2155" w:type="dxa"/>
            <w:vAlign w:val="center"/>
          </w:tcPr>
          <w:p w:rsidR="00D60045" w:rsidRPr="00252A55" w:rsidRDefault="00D60045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Thématique de communication</w:t>
            </w:r>
          </w:p>
          <w:p w:rsidR="00E4264F" w:rsidRPr="00252A55" w:rsidRDefault="00E4264F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Besoins</w:t>
            </w:r>
          </w:p>
        </w:tc>
        <w:tc>
          <w:tcPr>
            <w:tcW w:w="3373" w:type="dxa"/>
            <w:vAlign w:val="center"/>
          </w:tcPr>
          <w:p w:rsidR="00E4264F" w:rsidRPr="00252A55" w:rsidRDefault="00E4264F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Contenu</w:t>
            </w:r>
          </w:p>
        </w:tc>
        <w:tc>
          <w:tcPr>
            <w:tcW w:w="2268" w:type="dxa"/>
            <w:vAlign w:val="center"/>
          </w:tcPr>
          <w:p w:rsidR="00E4264F" w:rsidRPr="00252A55" w:rsidRDefault="00E4264F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Outils de communication</w:t>
            </w:r>
          </w:p>
        </w:tc>
        <w:tc>
          <w:tcPr>
            <w:tcW w:w="2410" w:type="dxa"/>
            <w:vAlign w:val="center"/>
          </w:tcPr>
          <w:p w:rsidR="00E4264F" w:rsidRPr="00252A55" w:rsidRDefault="00E4264F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Objectif</w:t>
            </w:r>
          </w:p>
        </w:tc>
        <w:tc>
          <w:tcPr>
            <w:tcW w:w="1559" w:type="dxa"/>
            <w:vAlign w:val="center"/>
          </w:tcPr>
          <w:p w:rsidR="00E4264F" w:rsidRPr="00252A55" w:rsidRDefault="00E4264F" w:rsidP="005B74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</w:t>
            </w:r>
            <w:r w:rsidR="00D60045" w:rsidRPr="00252A55">
              <w:rPr>
                <w:rFonts w:ascii="Minion Pro" w:hAnsi="Minion Pro" w:cs="Arial"/>
                <w:sz w:val="24"/>
                <w:szCs w:val="24"/>
              </w:rPr>
              <w:t>esp.</w:t>
            </w:r>
          </w:p>
        </w:tc>
        <w:tc>
          <w:tcPr>
            <w:tcW w:w="1872" w:type="dxa"/>
            <w:vAlign w:val="center"/>
          </w:tcPr>
          <w:p w:rsidR="00E4264F" w:rsidRPr="00252A55" w:rsidRDefault="00E4264F" w:rsidP="005B740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 w:val="0"/>
                <w:bCs w:val="0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Périodicité</w:t>
            </w:r>
            <w:r w:rsidR="00D874C2">
              <w:rPr>
                <w:rFonts w:ascii="Minion Pro" w:hAnsi="Minion Pro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52A55">
              <w:rPr>
                <w:rFonts w:ascii="Minion Pro" w:hAnsi="Minion Pro" w:cs="Arial"/>
                <w:sz w:val="24"/>
                <w:szCs w:val="24"/>
              </w:rPr>
              <w:t>(dépend de la thématique « COM »)</w:t>
            </w:r>
          </w:p>
        </w:tc>
      </w:tr>
      <w:tr w:rsidR="0029684C" w:rsidRPr="00252A55" w:rsidTr="00CE5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4264F" w:rsidRPr="00252A55" w:rsidRDefault="00E4264F" w:rsidP="005B740A">
            <w:pPr>
              <w:jc w:val="center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Personnel</w:t>
            </w:r>
          </w:p>
        </w:tc>
        <w:tc>
          <w:tcPr>
            <w:tcW w:w="2155" w:type="dxa"/>
            <w:vAlign w:val="center"/>
          </w:tcPr>
          <w:p w:rsidR="00E4264F" w:rsidRPr="00252A55" w:rsidRDefault="005B740A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 xml:space="preserve">Vision, </w:t>
            </w:r>
            <w:r w:rsidR="00E4264F" w:rsidRPr="00252A55">
              <w:rPr>
                <w:rFonts w:ascii="Minion Pro" w:hAnsi="Minion Pro" w:cs="Arial"/>
                <w:sz w:val="24"/>
                <w:szCs w:val="24"/>
              </w:rPr>
              <w:t>objectifs</w:t>
            </w:r>
            <w:r w:rsidRPr="00252A55">
              <w:rPr>
                <w:rFonts w:ascii="Minion Pro" w:hAnsi="Minion Pro" w:cs="Arial"/>
                <w:sz w:val="24"/>
                <w:szCs w:val="24"/>
              </w:rPr>
              <w:t xml:space="preserve"> et r</w:t>
            </w:r>
            <w:r w:rsidR="000F7C77" w:rsidRPr="00252A55">
              <w:rPr>
                <w:rFonts w:ascii="Minion Pro" w:hAnsi="Minion Pro" w:cs="Arial"/>
                <w:sz w:val="24"/>
                <w:szCs w:val="24"/>
              </w:rPr>
              <w:t>ésultats</w:t>
            </w:r>
            <w:r w:rsidR="00E4264F" w:rsidRPr="00252A55">
              <w:rPr>
                <w:rFonts w:ascii="Minion Pro" w:hAnsi="Minion Pro" w:cs="Arial"/>
                <w:sz w:val="24"/>
                <w:szCs w:val="24"/>
              </w:rPr>
              <w:t xml:space="preserve"> de l’entreprise</w:t>
            </w:r>
          </w:p>
        </w:tc>
        <w:tc>
          <w:tcPr>
            <w:tcW w:w="3373" w:type="dxa"/>
            <w:vAlign w:val="center"/>
          </w:tcPr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Rappel sur la vision</w:t>
            </w:r>
          </w:p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Faire le bilan des performances de l’année précédente</w:t>
            </w:r>
          </w:p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Donner les objectifs clés de NEST</w:t>
            </w:r>
          </w:p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:rsidR="0029684C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45 mn de réunion</w:t>
            </w:r>
          </w:p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Communication écrite par mail ou par lettre d’informations</w:t>
            </w:r>
          </w:p>
        </w:tc>
        <w:tc>
          <w:tcPr>
            <w:tcW w:w="2410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Faire porter la vision par toute l’entreprise</w:t>
            </w:r>
          </w:p>
        </w:tc>
        <w:tc>
          <w:tcPr>
            <w:tcW w:w="1559" w:type="dxa"/>
            <w:vAlign w:val="center"/>
          </w:tcPr>
          <w:p w:rsidR="00E4264F" w:rsidRPr="00252A55" w:rsidRDefault="00E4264F" w:rsidP="005B7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E4264F" w:rsidRPr="00252A55" w:rsidRDefault="00E4264F" w:rsidP="005901BB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Janvier</w:t>
            </w:r>
          </w:p>
        </w:tc>
      </w:tr>
      <w:tr w:rsidR="0029684C" w:rsidRPr="00252A55" w:rsidTr="00CE5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4264F" w:rsidRPr="00252A55" w:rsidRDefault="00E4264F" w:rsidP="005B740A">
            <w:pPr>
              <w:jc w:val="center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Personnel</w:t>
            </w:r>
          </w:p>
        </w:tc>
        <w:tc>
          <w:tcPr>
            <w:tcW w:w="2155" w:type="dxa"/>
            <w:vAlign w:val="center"/>
          </w:tcPr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Performances et évènements exceptionnels</w:t>
            </w:r>
          </w:p>
        </w:tc>
        <w:tc>
          <w:tcPr>
            <w:tcW w:w="3373" w:type="dxa"/>
            <w:vAlign w:val="center"/>
          </w:tcPr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Informer de la performance de collaborateurs qui se sont distingués</w:t>
            </w:r>
          </w:p>
          <w:p w:rsidR="0073159B" w:rsidRPr="00252A55" w:rsidRDefault="0073159B" w:rsidP="0073159B">
            <w:pPr>
              <w:pStyle w:val="Paragraphedeliste"/>
              <w:autoSpaceDE w:val="0"/>
              <w:autoSpaceDN w:val="0"/>
              <w:adjustRightInd w:val="0"/>
              <w:spacing w:before="120" w:after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</w:p>
          <w:p w:rsidR="00E4264F" w:rsidRPr="00252A55" w:rsidRDefault="00E4264F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Informer de l’actualité marquante du trimestre</w:t>
            </w:r>
          </w:p>
          <w:p w:rsidR="0073159B" w:rsidRPr="00252A55" w:rsidRDefault="0073159B" w:rsidP="0073159B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</w:p>
          <w:p w:rsidR="0073159B" w:rsidRPr="00252A55" w:rsidRDefault="0073159B" w:rsidP="00777D4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Informer de l’arrivée de nouveaux collaborateurs</w:t>
            </w:r>
          </w:p>
          <w:p w:rsidR="0073159B" w:rsidRPr="00252A55" w:rsidRDefault="0073159B" w:rsidP="00D6004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Informer du lancement de nouvelles offres et des actions de communication entreprises</w:t>
            </w:r>
          </w:p>
        </w:tc>
        <w:tc>
          <w:tcPr>
            <w:tcW w:w="2268" w:type="dxa"/>
            <w:vAlign w:val="center"/>
          </w:tcPr>
          <w:p w:rsidR="00E4264F" w:rsidRPr="00252A55" w:rsidRDefault="00E4264F" w:rsidP="00D600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lastRenderedPageBreak/>
              <w:t>Newsletter</w:t>
            </w:r>
            <w:r w:rsidR="0073159B" w:rsidRPr="00252A55">
              <w:rPr>
                <w:rFonts w:ascii="Minion Pro" w:hAnsi="Minion Pro" w:cs="Arial"/>
                <w:sz w:val="24"/>
                <w:szCs w:val="24"/>
              </w:rPr>
              <w:t xml:space="preserve"> interne</w:t>
            </w:r>
          </w:p>
        </w:tc>
        <w:tc>
          <w:tcPr>
            <w:tcW w:w="2410" w:type="dxa"/>
            <w:vAlign w:val="center"/>
          </w:tcPr>
          <w:p w:rsidR="00E4264F" w:rsidRPr="00252A55" w:rsidRDefault="00E4264F" w:rsidP="009A76F5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 xml:space="preserve">Valoriser le travail des collaborateurs </w:t>
            </w:r>
          </w:p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Informer sur les performances du Trimestre</w:t>
            </w:r>
          </w:p>
          <w:p w:rsidR="0073159B" w:rsidRPr="00252A55" w:rsidRDefault="0073159B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lastRenderedPageBreak/>
              <w:t>Favoriser</w:t>
            </w:r>
            <w:r w:rsidR="00F73D50" w:rsidRPr="00252A55">
              <w:rPr>
                <w:rFonts w:ascii="Minion Pro" w:hAnsi="Minion Pro" w:cs="Arial"/>
                <w:sz w:val="24"/>
                <w:szCs w:val="24"/>
              </w:rPr>
              <w:t xml:space="preserve"> </w:t>
            </w:r>
            <w:r w:rsidRPr="00252A55">
              <w:rPr>
                <w:rFonts w:ascii="Minion Pro" w:hAnsi="Minion Pro" w:cs="Arial"/>
                <w:sz w:val="24"/>
                <w:szCs w:val="24"/>
              </w:rPr>
              <w:t>l’engagement des salariés</w:t>
            </w:r>
          </w:p>
          <w:p w:rsidR="0073159B" w:rsidRPr="00252A55" w:rsidRDefault="0073159B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Accompagner le changement</w:t>
            </w:r>
          </w:p>
          <w:p w:rsidR="0073159B" w:rsidRPr="00252A55" w:rsidRDefault="0073159B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Fédérer, créer du lien</w:t>
            </w:r>
          </w:p>
          <w:p w:rsidR="0073159B" w:rsidRPr="00252A55" w:rsidRDefault="0073159B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Renforcer la culture d’entreprise</w:t>
            </w:r>
          </w:p>
          <w:p w:rsidR="0073159B" w:rsidRPr="00252A55" w:rsidRDefault="0073159B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</w:t>
            </w:r>
            <w:r w:rsidR="00777D43" w:rsidRPr="00252A55">
              <w:rPr>
                <w:rFonts w:ascii="Minion Pro" w:hAnsi="Minion Pro" w:cs="Arial"/>
                <w:sz w:val="24"/>
                <w:szCs w:val="24"/>
              </w:rPr>
              <w:t>s</w:t>
            </w:r>
            <w:r w:rsidRPr="00252A55">
              <w:rPr>
                <w:rFonts w:ascii="Minion Pro" w:hAnsi="Minion Pro" w:cs="Arial"/>
                <w:sz w:val="24"/>
                <w:szCs w:val="24"/>
              </w:rPr>
              <w:t>citer la cohésion de groupe</w:t>
            </w:r>
          </w:p>
        </w:tc>
        <w:tc>
          <w:tcPr>
            <w:tcW w:w="1559" w:type="dxa"/>
            <w:vAlign w:val="center"/>
          </w:tcPr>
          <w:p w:rsidR="00E4264F" w:rsidRPr="00252A55" w:rsidRDefault="00E4264F" w:rsidP="005B7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lastRenderedPageBreak/>
              <w:t>Direction Générale</w:t>
            </w:r>
          </w:p>
        </w:tc>
        <w:tc>
          <w:tcPr>
            <w:tcW w:w="1872" w:type="dxa"/>
            <w:vAlign w:val="center"/>
          </w:tcPr>
          <w:p w:rsidR="00E4264F" w:rsidRPr="00252A55" w:rsidRDefault="00E4264F" w:rsidP="005B74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Trimestrielle</w:t>
            </w:r>
            <w:r w:rsidR="000724E5" w:rsidRPr="00252A55">
              <w:rPr>
                <w:rFonts w:ascii="Minion Pro" w:hAnsi="Minion Pro" w:cs="Arial"/>
                <w:sz w:val="24"/>
                <w:szCs w:val="24"/>
              </w:rPr>
              <w:t xml:space="preserve"> à partir 2018</w:t>
            </w:r>
          </w:p>
        </w:tc>
      </w:tr>
      <w:tr w:rsidR="0029684C" w:rsidRPr="00252A55" w:rsidTr="00CE5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4264F" w:rsidRPr="00252A55" w:rsidRDefault="00E4264F" w:rsidP="005B74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Personnel concerné</w:t>
            </w:r>
          </w:p>
        </w:tc>
        <w:tc>
          <w:tcPr>
            <w:tcW w:w="2155" w:type="dxa"/>
            <w:vAlign w:val="center"/>
          </w:tcPr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Suivi hebdomadaire des performances opérationnelles, des incidents, de la satisfaction et des réclamations</w:t>
            </w:r>
          </w:p>
        </w:tc>
        <w:tc>
          <w:tcPr>
            <w:tcW w:w="3373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Par réunion d’activité thématique :</w:t>
            </w:r>
          </w:p>
          <w:p w:rsidR="00E4264F" w:rsidRPr="00252A55" w:rsidRDefault="00E4264F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Fai</w:t>
            </w:r>
            <w:r w:rsidR="00C86824" w:rsidRPr="00252A55">
              <w:rPr>
                <w:rFonts w:ascii="Minion Pro" w:hAnsi="Minion Pro" w:cs="Arial"/>
                <w:sz w:val="24"/>
                <w:szCs w:val="24"/>
              </w:rPr>
              <w:t xml:space="preserve">re le pilotage des performances </w:t>
            </w:r>
            <w:r w:rsidRPr="00252A55">
              <w:rPr>
                <w:rFonts w:ascii="Minion Pro" w:hAnsi="Minion Pro" w:cs="Arial"/>
                <w:sz w:val="24"/>
                <w:szCs w:val="24"/>
              </w:rPr>
              <w:t>(indicateurs)</w:t>
            </w:r>
          </w:p>
          <w:p w:rsidR="00E4264F" w:rsidRPr="00252A55" w:rsidRDefault="00E4264F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La revue des incidents, réclamations et fiches de satisfaction si opportun</w:t>
            </w:r>
          </w:p>
          <w:p w:rsidR="0073159B" w:rsidRPr="00252A55" w:rsidRDefault="0073159B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Former / sensibiliser le personnel sur des points pouvant entraver la bonne marche de l’activité</w:t>
            </w:r>
          </w:p>
        </w:tc>
        <w:tc>
          <w:tcPr>
            <w:tcW w:w="2268" w:type="dxa"/>
            <w:vAlign w:val="center"/>
          </w:tcPr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Réunion d’activité</w:t>
            </w:r>
          </w:p>
        </w:tc>
        <w:tc>
          <w:tcPr>
            <w:tcW w:w="2410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Faire un suivi rapproché des activités, des performances et de la satisfaction client</w:t>
            </w:r>
          </w:p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Lever les obstacles à l’activité dans les meilleurs délais</w:t>
            </w:r>
          </w:p>
        </w:tc>
        <w:tc>
          <w:tcPr>
            <w:tcW w:w="1559" w:type="dxa"/>
            <w:vAlign w:val="center"/>
          </w:tcPr>
          <w:p w:rsidR="00E4264F" w:rsidRPr="00252A55" w:rsidRDefault="00E4264F" w:rsidP="00AC73F1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Direction Général</w:t>
            </w:r>
            <w:r w:rsidR="00AC73F1" w:rsidRPr="00252A55">
              <w:rPr>
                <w:rFonts w:ascii="Minion Pro" w:hAnsi="Minion Pro" w:cs="Arial"/>
                <w:sz w:val="24"/>
                <w:szCs w:val="24"/>
              </w:rPr>
              <w:t xml:space="preserve">, Direction </w:t>
            </w:r>
            <w:r w:rsidR="005F1A8C" w:rsidRPr="00252A55">
              <w:rPr>
                <w:rFonts w:ascii="Minion Pro" w:hAnsi="Minion Pro" w:cs="Arial"/>
                <w:sz w:val="24"/>
                <w:szCs w:val="24"/>
              </w:rPr>
              <w:t>des opérations</w:t>
            </w:r>
          </w:p>
        </w:tc>
        <w:tc>
          <w:tcPr>
            <w:tcW w:w="1872" w:type="dxa"/>
            <w:vAlign w:val="center"/>
          </w:tcPr>
          <w:p w:rsidR="00E4264F" w:rsidRPr="00252A55" w:rsidRDefault="0073159B" w:rsidP="00F73D50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Mensuelle + ponct</w:t>
            </w:r>
            <w:r w:rsidR="00777D43" w:rsidRPr="00252A55">
              <w:rPr>
                <w:rFonts w:ascii="Minion Pro" w:hAnsi="Minion Pro" w:cs="Arial"/>
                <w:sz w:val="24"/>
                <w:szCs w:val="24"/>
              </w:rPr>
              <w:t>u</w:t>
            </w:r>
            <w:r w:rsidRPr="00252A55">
              <w:rPr>
                <w:rFonts w:ascii="Minion Pro" w:hAnsi="Minion Pro" w:cs="Arial"/>
                <w:sz w:val="24"/>
                <w:szCs w:val="24"/>
              </w:rPr>
              <w:t>elle suivant problématique</w:t>
            </w:r>
          </w:p>
        </w:tc>
      </w:tr>
      <w:tr w:rsidR="00EA29F1" w:rsidRPr="00252A55" w:rsidTr="00CE5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A29F1" w:rsidRPr="00252A55" w:rsidRDefault="00EA29F1" w:rsidP="005B74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lastRenderedPageBreak/>
              <w:t>Pilotes de processus</w:t>
            </w:r>
          </w:p>
        </w:tc>
        <w:tc>
          <w:tcPr>
            <w:tcW w:w="2155" w:type="dxa"/>
            <w:vAlign w:val="center"/>
          </w:tcPr>
          <w:p w:rsidR="00EA29F1" w:rsidRPr="00252A55" w:rsidRDefault="00EA29F1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Suivi mensuelle des plans d’actions qualité</w:t>
            </w:r>
          </w:p>
        </w:tc>
        <w:tc>
          <w:tcPr>
            <w:tcW w:w="3373" w:type="dxa"/>
            <w:vAlign w:val="center"/>
          </w:tcPr>
          <w:p w:rsidR="00EA29F1" w:rsidRPr="00252A55" w:rsidRDefault="00EA29F1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Présentation de chaque pilote sur son processus</w:t>
            </w:r>
          </w:p>
          <w:p w:rsidR="00EA29F1" w:rsidRPr="00252A55" w:rsidRDefault="00EA29F1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Revue des indicateurs, des incidents et des réclamations</w:t>
            </w:r>
          </w:p>
        </w:tc>
        <w:tc>
          <w:tcPr>
            <w:tcW w:w="2268" w:type="dxa"/>
            <w:vAlign w:val="center"/>
          </w:tcPr>
          <w:p w:rsidR="00EA29F1" w:rsidRPr="00252A55" w:rsidRDefault="00EA29F1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 xml:space="preserve">Réunion </w:t>
            </w:r>
            <w:r w:rsidR="00A37FFD" w:rsidRPr="00252A55">
              <w:rPr>
                <w:rFonts w:ascii="Minion Pro" w:hAnsi="Minion Pro" w:cs="Arial"/>
                <w:sz w:val="24"/>
                <w:szCs w:val="24"/>
              </w:rPr>
              <w:t>trimestrielle</w:t>
            </w:r>
          </w:p>
        </w:tc>
        <w:tc>
          <w:tcPr>
            <w:tcW w:w="2410" w:type="dxa"/>
            <w:vAlign w:val="center"/>
          </w:tcPr>
          <w:p w:rsidR="00EA29F1" w:rsidRPr="00252A55" w:rsidRDefault="00EA29F1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Reporting sur l’avancée des processus et les indicateurs de performance</w:t>
            </w:r>
          </w:p>
        </w:tc>
        <w:tc>
          <w:tcPr>
            <w:tcW w:w="1559" w:type="dxa"/>
            <w:vAlign w:val="center"/>
          </w:tcPr>
          <w:p w:rsidR="00EA29F1" w:rsidRPr="00252A55" w:rsidRDefault="00EA29F1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Responsable Qualité</w:t>
            </w:r>
          </w:p>
        </w:tc>
        <w:tc>
          <w:tcPr>
            <w:tcW w:w="1872" w:type="dxa"/>
            <w:vAlign w:val="center"/>
          </w:tcPr>
          <w:p w:rsidR="00EA29F1" w:rsidRPr="00252A55" w:rsidRDefault="00F73D50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Trimestrielle</w:t>
            </w:r>
          </w:p>
        </w:tc>
      </w:tr>
      <w:tr w:rsidR="0029684C" w:rsidRPr="00252A55" w:rsidTr="00CE5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E4264F" w:rsidRPr="00252A55" w:rsidRDefault="00E4264F" w:rsidP="005B74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 xml:space="preserve">Membres du comité de </w:t>
            </w:r>
            <w:r w:rsidR="001E476E" w:rsidRPr="00252A55">
              <w:rPr>
                <w:rFonts w:ascii="Minion Pro" w:hAnsi="Minion Pro" w:cs="Arial"/>
                <w:sz w:val="24"/>
                <w:szCs w:val="24"/>
              </w:rPr>
              <w:t>direction</w:t>
            </w:r>
          </w:p>
        </w:tc>
        <w:tc>
          <w:tcPr>
            <w:tcW w:w="2155" w:type="dxa"/>
            <w:vAlign w:val="center"/>
          </w:tcPr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Suivi mensuel des performances opérationnelles, des incidents majeurs, de la satisfaction et des réclamations</w:t>
            </w:r>
          </w:p>
        </w:tc>
        <w:tc>
          <w:tcPr>
            <w:tcW w:w="3373" w:type="dxa"/>
            <w:vAlign w:val="center"/>
          </w:tcPr>
          <w:p w:rsidR="00E4264F" w:rsidRPr="00252A55" w:rsidRDefault="00E4264F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Suivi de la performance financière et opérationnelle</w:t>
            </w:r>
          </w:p>
          <w:p w:rsidR="00E4264F" w:rsidRPr="00252A55" w:rsidRDefault="00E4264F" w:rsidP="004674C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Suivi des projets stratégiques en cours, des incidents majeurs</w:t>
            </w:r>
          </w:p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4264F" w:rsidRPr="00252A55" w:rsidRDefault="00E4264F" w:rsidP="004674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Réunion + PV de réunions</w:t>
            </w:r>
          </w:p>
        </w:tc>
        <w:tc>
          <w:tcPr>
            <w:tcW w:w="2410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Avoir une instance de pilotage de l’entreprise</w:t>
            </w:r>
          </w:p>
        </w:tc>
        <w:tc>
          <w:tcPr>
            <w:tcW w:w="1559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E4264F" w:rsidRPr="00252A55" w:rsidRDefault="00E4264F" w:rsidP="004674CD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sz w:val="24"/>
                <w:szCs w:val="24"/>
              </w:rPr>
            </w:pPr>
            <w:r w:rsidRPr="00252A55">
              <w:rPr>
                <w:rFonts w:ascii="Minion Pro" w:hAnsi="Minion Pro" w:cs="Arial"/>
                <w:sz w:val="24"/>
                <w:szCs w:val="24"/>
              </w:rPr>
              <w:t>Mensuelle (Deuxième Jeudi du mois)</w:t>
            </w:r>
          </w:p>
        </w:tc>
      </w:tr>
    </w:tbl>
    <w:p w:rsidR="004C1E7F" w:rsidRPr="00252A55" w:rsidRDefault="004C1E7F">
      <w:pPr>
        <w:rPr>
          <w:rFonts w:ascii="Minion Pro" w:hAnsi="Minion Pro"/>
        </w:rPr>
      </w:pPr>
    </w:p>
    <w:sectPr w:rsidR="004C1E7F" w:rsidRPr="00252A55" w:rsidSect="00762C40">
      <w:head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6C1" w:rsidRDefault="008E56C1" w:rsidP="00EA121E">
      <w:pPr>
        <w:spacing w:after="0" w:line="240" w:lineRule="auto"/>
      </w:pPr>
      <w:r>
        <w:separator/>
      </w:r>
    </w:p>
  </w:endnote>
  <w:endnote w:type="continuationSeparator" w:id="0">
    <w:p w:rsidR="008E56C1" w:rsidRDefault="008E56C1" w:rsidP="00EA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6C1" w:rsidRDefault="008E56C1" w:rsidP="00EA121E">
      <w:pPr>
        <w:spacing w:after="0" w:line="240" w:lineRule="auto"/>
      </w:pPr>
      <w:r>
        <w:separator/>
      </w:r>
    </w:p>
  </w:footnote>
  <w:footnote w:type="continuationSeparator" w:id="0">
    <w:p w:rsidR="008E56C1" w:rsidRDefault="008E56C1" w:rsidP="00EA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1E" w:rsidRPr="00252A55" w:rsidRDefault="00EA121E" w:rsidP="00EF1983">
    <w:pPr>
      <w:pStyle w:val="En-tte"/>
      <w:jc w:val="right"/>
      <w:rPr>
        <w:rFonts w:ascii="Minion Pro" w:hAnsi="Minion Pro"/>
        <w:sz w:val="16"/>
        <w:szCs w:val="16"/>
      </w:rPr>
    </w:pPr>
    <w:r w:rsidRPr="00252A55">
      <w:rPr>
        <w:rFonts w:ascii="Minion Pro" w:hAnsi="Minion Pro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-201930</wp:posOffset>
          </wp:positionV>
          <wp:extent cx="2232637" cy="648586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37" cy="648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83" w:rsidRPr="00252A55">
      <w:rPr>
        <w:rFonts w:ascii="Minion Pro" w:hAnsi="Minion Pro"/>
        <w:sz w:val="16"/>
        <w:szCs w:val="16"/>
      </w:rPr>
      <w:t>PM02-SI0001</w:t>
    </w:r>
  </w:p>
  <w:p w:rsidR="00EF1983" w:rsidRPr="00252A55" w:rsidRDefault="00EF1983" w:rsidP="00EF1983">
    <w:pPr>
      <w:pStyle w:val="En-tte"/>
      <w:jc w:val="right"/>
      <w:rPr>
        <w:rFonts w:ascii="Minion Pro" w:hAnsi="Minion Pro"/>
        <w:sz w:val="16"/>
        <w:szCs w:val="16"/>
      </w:rPr>
    </w:pPr>
    <w:r w:rsidRPr="00252A55">
      <w:rPr>
        <w:rFonts w:ascii="Minion Pro" w:hAnsi="Minion Pro"/>
        <w:sz w:val="16"/>
        <w:szCs w:val="16"/>
      </w:rPr>
      <w:t>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2250"/>
    <w:multiLevelType w:val="hybridMultilevel"/>
    <w:tmpl w:val="83F6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0"/>
    <w:rsid w:val="00057BAB"/>
    <w:rsid w:val="00061E8D"/>
    <w:rsid w:val="000724E5"/>
    <w:rsid w:val="000F7C77"/>
    <w:rsid w:val="00153FE2"/>
    <w:rsid w:val="001B69FE"/>
    <w:rsid w:val="001E476E"/>
    <w:rsid w:val="00200BDE"/>
    <w:rsid w:val="00252A55"/>
    <w:rsid w:val="002629E5"/>
    <w:rsid w:val="0029684C"/>
    <w:rsid w:val="002D1E38"/>
    <w:rsid w:val="002E2DE1"/>
    <w:rsid w:val="0038339A"/>
    <w:rsid w:val="004674CD"/>
    <w:rsid w:val="004C1E7F"/>
    <w:rsid w:val="004D2B9D"/>
    <w:rsid w:val="004F0AD5"/>
    <w:rsid w:val="005510C3"/>
    <w:rsid w:val="005901BB"/>
    <w:rsid w:val="005B740A"/>
    <w:rsid w:val="005F1A8C"/>
    <w:rsid w:val="0061148C"/>
    <w:rsid w:val="006B5EDB"/>
    <w:rsid w:val="0072601E"/>
    <w:rsid w:val="0073159B"/>
    <w:rsid w:val="00762C40"/>
    <w:rsid w:val="00777D43"/>
    <w:rsid w:val="00797F69"/>
    <w:rsid w:val="00862FE6"/>
    <w:rsid w:val="00871EC2"/>
    <w:rsid w:val="00886F3C"/>
    <w:rsid w:val="008D717A"/>
    <w:rsid w:val="008E56C1"/>
    <w:rsid w:val="008F4CB9"/>
    <w:rsid w:val="009A76F5"/>
    <w:rsid w:val="00A264B6"/>
    <w:rsid w:val="00A37FFD"/>
    <w:rsid w:val="00A62E79"/>
    <w:rsid w:val="00AC73F1"/>
    <w:rsid w:val="00B8579D"/>
    <w:rsid w:val="00C0242E"/>
    <w:rsid w:val="00C41CB9"/>
    <w:rsid w:val="00C86824"/>
    <w:rsid w:val="00CE5315"/>
    <w:rsid w:val="00D24578"/>
    <w:rsid w:val="00D60045"/>
    <w:rsid w:val="00D625AC"/>
    <w:rsid w:val="00D874C2"/>
    <w:rsid w:val="00DB0084"/>
    <w:rsid w:val="00DE26A8"/>
    <w:rsid w:val="00E4264F"/>
    <w:rsid w:val="00E53C64"/>
    <w:rsid w:val="00EA121E"/>
    <w:rsid w:val="00EA29F1"/>
    <w:rsid w:val="00ED6351"/>
    <w:rsid w:val="00EF1983"/>
    <w:rsid w:val="00EF3720"/>
    <w:rsid w:val="00F54034"/>
    <w:rsid w:val="00F73D50"/>
    <w:rsid w:val="00FC7F4A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30723"/>
  <w15:docId w15:val="{C0562365-565E-47F1-95FB-47EAAE3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2C40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C40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C0242E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C0242E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0242E"/>
    <w:rPr>
      <w:rFonts w:ascii="Minion Pro" w:eastAsiaTheme="majorEastAsia" w:hAnsi="Minion Pro" w:cstheme="majorBidi"/>
      <w:color w:val="9FDF5F"/>
      <w:spacing w:val="-10"/>
      <w:kern w:val="28"/>
      <w:sz w:val="72"/>
      <w:szCs w:val="84"/>
    </w:rPr>
  </w:style>
  <w:style w:type="paragraph" w:styleId="En-tte">
    <w:name w:val="header"/>
    <w:basedOn w:val="Normal"/>
    <w:link w:val="En-tteCar"/>
    <w:uiPriority w:val="99"/>
    <w:unhideWhenUsed/>
    <w:rsid w:val="00EA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121E"/>
    <w:rPr>
      <w:rFonts w:eastAsiaTheme="minorHAns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A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121E"/>
    <w:rPr>
      <w:rFonts w:eastAsiaTheme="minorHAns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E42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42">
    <w:name w:val="Tableau Grille 1 Clair - Accentuation 42"/>
    <w:basedOn w:val="TableauNormal"/>
    <w:uiPriority w:val="46"/>
    <w:rsid w:val="00E4264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59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265E-6711-4B18-9BD2-7A1E02C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 Aminata DIAGNE</dc:creator>
  <cp:lastModifiedBy>Lauriane</cp:lastModifiedBy>
  <cp:revision>18</cp:revision>
  <dcterms:created xsi:type="dcterms:W3CDTF">2018-04-06T11:55:00Z</dcterms:created>
  <dcterms:modified xsi:type="dcterms:W3CDTF">2019-11-07T14:07:00Z</dcterms:modified>
</cp:coreProperties>
</file>