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228" w:rsidRPr="005A2CBD" w:rsidRDefault="00D50228" w:rsidP="009E57BF">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Objet de la procédure</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Cette procédure a pour objet de décrire les dispositions de demande d’approvisionnement et achats. Elle vise à assurer que les demandes en approvisionnement (petit matériel médical, médicaments, fournitures, consommables…) soient rapidement, régulièrement et correctement transmises à la direction des achats pour qu’elle puisse lancer les commandes. Elle vise également à décrire les étapes de validation et de transmission des documents pour le bon déroulement de l’approvisionnement.</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Ceci concerne donc l’ensemble du personnel de NEST ainsi que la direction des achats.</w:t>
      </w:r>
    </w:p>
    <w:p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Domaine d’application </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Les dispositions s'appliquent à l’ensemble des structures NEST.</w:t>
      </w:r>
    </w:p>
    <w:p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Responsabilité</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 xml:space="preserve">Le chargé(e) des achats et des services généraux est chargé de l’application de cette procédure. </w:t>
      </w:r>
    </w:p>
    <w:p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Référence </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Norme ISO 9001 V 2015</w:t>
      </w:r>
    </w:p>
    <w:p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Annexes</w:t>
      </w:r>
    </w:p>
    <w:p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9E57BF">
        <w:rPr>
          <w:rFonts w:ascii="Minion Pro" w:eastAsia="Calibri" w:hAnsi="Minion Pro" w:cs="Times New Roman"/>
        </w:rPr>
        <w:t xml:space="preserve">Fiche de demande d’approvisionnement </w:t>
      </w:r>
      <w:r w:rsidR="00433035" w:rsidRPr="009E57BF">
        <w:rPr>
          <w:rFonts w:ascii="Minion Pro" w:eastAsia="Calibri" w:hAnsi="Minion Pro" w:cs="Times New Roman"/>
        </w:rPr>
        <w:t>numérisée</w:t>
      </w:r>
      <w:r w:rsidR="00A019DA" w:rsidRPr="009E57BF">
        <w:rPr>
          <w:rFonts w:ascii="Minion Pro" w:eastAsia="Calibri" w:hAnsi="Minion Pro" w:cs="Times New Roman"/>
        </w:rPr>
        <w:t xml:space="preserve"> </w:t>
      </w:r>
      <w:r w:rsidR="00433035" w:rsidRPr="009E57BF">
        <w:rPr>
          <w:rFonts w:ascii="Minion Pro" w:eastAsia="Calibri" w:hAnsi="Minion Pro" w:cs="Times New Roman"/>
        </w:rPr>
        <w:t xml:space="preserve">(pour les </w:t>
      </w:r>
      <w:r w:rsidR="009E57BF" w:rsidRPr="009E57BF">
        <w:rPr>
          <w:rFonts w:ascii="Minion Pro" w:eastAsia="Calibri" w:hAnsi="Minion Pro" w:cs="Times New Roman"/>
        </w:rPr>
        <w:t>médicaments, consommables</w:t>
      </w:r>
      <w:r w:rsidRPr="009E57BF">
        <w:rPr>
          <w:rFonts w:ascii="Minion Pro" w:eastAsia="Calibri" w:hAnsi="Minion Pro" w:cs="Times New Roman"/>
        </w:rPr>
        <w:t xml:space="preserve"> médicaux</w:t>
      </w:r>
      <w:r w:rsidR="00433035" w:rsidRPr="009E57BF">
        <w:rPr>
          <w:rFonts w:ascii="Minion Pro" w:eastAsia="Calibri" w:hAnsi="Minion Pro" w:cs="Times New Roman"/>
        </w:rPr>
        <w:t xml:space="preserve"> et </w:t>
      </w:r>
      <w:r w:rsidR="009E57BF" w:rsidRPr="009E57BF">
        <w:rPr>
          <w:rFonts w:ascii="Minion Pro" w:eastAsia="Calibri" w:hAnsi="Minion Pro" w:cs="Times New Roman"/>
        </w:rPr>
        <w:t xml:space="preserve">fournitures, </w:t>
      </w:r>
      <w:r w:rsidR="006B10A1" w:rsidRPr="009E57BF">
        <w:rPr>
          <w:rFonts w:ascii="Minion Pro" w:eastAsia="Calibri" w:hAnsi="Minion Pro" w:cs="Times New Roman"/>
        </w:rPr>
        <w:t>c’est à dire la liste des c</w:t>
      </w:r>
      <w:r w:rsidR="009E57BF">
        <w:rPr>
          <w:rFonts w:ascii="Minion Pro" w:eastAsia="Calibri" w:hAnsi="Minion Pro" w:cs="Times New Roman"/>
        </w:rPr>
        <w:t>o</w:t>
      </w:r>
      <w:r w:rsidR="006B10A1" w:rsidRPr="009E57BF">
        <w:rPr>
          <w:rFonts w:ascii="Minion Pro" w:eastAsia="Calibri" w:hAnsi="Minion Pro" w:cs="Times New Roman"/>
        </w:rPr>
        <w:t>des à générer dans le système numérisé</w:t>
      </w:r>
    </w:p>
    <w:p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5A2CBD">
        <w:rPr>
          <w:rFonts w:ascii="Minion Pro" w:eastAsia="Calibri" w:hAnsi="Minion Pro" w:cs="Times New Roman"/>
        </w:rPr>
        <w:t>Fiche fournisseur</w:t>
      </w:r>
      <w:r w:rsidR="006B10A1">
        <w:rPr>
          <w:rFonts w:ascii="Minion Pro" w:eastAsia="Calibri" w:hAnsi="Minion Pro" w:cs="Times New Roman"/>
        </w:rPr>
        <w:t xml:space="preserve"> avec les </w:t>
      </w:r>
      <w:r w:rsidR="006B10A1" w:rsidRPr="009E57BF">
        <w:rPr>
          <w:rFonts w:ascii="Minion Pro" w:eastAsia="Calibri" w:hAnsi="Minion Pro" w:cs="Times New Roman"/>
        </w:rPr>
        <w:t>prix (pour pouvoir faire les modifications sur la base puisque certains prix ne sont pas fixes)</w:t>
      </w:r>
    </w:p>
    <w:p w:rsidR="00D50228" w:rsidRPr="006B10A1" w:rsidRDefault="00D50228" w:rsidP="00D50228">
      <w:pPr>
        <w:numPr>
          <w:ilvl w:val="0"/>
          <w:numId w:val="1"/>
        </w:numPr>
        <w:spacing w:before="120" w:after="120" w:line="240" w:lineRule="auto"/>
        <w:contextualSpacing/>
        <w:jc w:val="both"/>
        <w:rPr>
          <w:rFonts w:ascii="Minion Pro" w:eastAsia="Calibri" w:hAnsi="Minion Pro" w:cs="Times New Roman"/>
        </w:rPr>
      </w:pPr>
      <w:r w:rsidRPr="006B10A1">
        <w:rPr>
          <w:rFonts w:ascii="Minion Pro" w:eastAsia="Calibri" w:hAnsi="Minion Pro" w:cs="Times New Roman"/>
        </w:rPr>
        <w:t>Base de données des fournisseurs</w:t>
      </w:r>
    </w:p>
    <w:p w:rsidR="00D50228" w:rsidRPr="005A2CBD" w:rsidRDefault="00D50228" w:rsidP="00D50228">
      <w:pPr>
        <w:numPr>
          <w:ilvl w:val="0"/>
          <w:numId w:val="1"/>
        </w:numPr>
        <w:spacing w:before="120" w:after="120" w:line="240" w:lineRule="auto"/>
        <w:contextualSpacing/>
        <w:jc w:val="both"/>
        <w:rPr>
          <w:rFonts w:ascii="Minion Pro" w:eastAsia="Calibri" w:hAnsi="Minion Pro" w:cs="Times New Roman"/>
        </w:rPr>
      </w:pPr>
      <w:r w:rsidRPr="005A2CBD">
        <w:rPr>
          <w:rFonts w:ascii="Minion Pro" w:eastAsia="Calibri" w:hAnsi="Minion Pro" w:cs="Times New Roman"/>
        </w:rPr>
        <w:t>Bon de commande</w:t>
      </w:r>
      <w:r w:rsidR="006B10A1">
        <w:rPr>
          <w:rFonts w:ascii="Minion Pro" w:eastAsia="Calibri" w:hAnsi="Minion Pro" w:cs="Times New Roman"/>
        </w:rPr>
        <w:t xml:space="preserve"> numérique</w:t>
      </w:r>
    </w:p>
    <w:p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br w:type="page"/>
      </w:r>
    </w:p>
    <w:p w:rsidR="00D50228" w:rsidRPr="005A2CBD" w:rsidRDefault="00D50228" w:rsidP="00D50228">
      <w:pPr>
        <w:keepNext/>
        <w:keepLines/>
        <w:spacing w:before="240" w:after="120" w:line="240" w:lineRule="auto"/>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lastRenderedPageBreak/>
        <w:t>Description de la procédure</w:t>
      </w:r>
    </w:p>
    <w:p w:rsidR="00D50228" w:rsidRPr="005A2CBD" w:rsidRDefault="00D50228"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mensuelle (médicaments, consommables, produits d’entretien et fournitures de bureau)</w:t>
      </w:r>
    </w:p>
    <w:p w:rsidR="00D50228" w:rsidRPr="005A2CBD" w:rsidRDefault="00D50228" w:rsidP="00D50228">
      <w:pPr>
        <w:pStyle w:val="Titr3"/>
      </w:pPr>
    </w:p>
    <w:p w:rsidR="00D50228" w:rsidRPr="005A2CBD" w:rsidRDefault="00D50228" w:rsidP="00D50228">
      <w:pPr>
        <w:pStyle w:val="Titr3"/>
      </w:pPr>
      <w:r w:rsidRPr="005A2CBD">
        <w:t>Demande Numérique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pStyle w:val="Sansinterligne"/>
              <w:jc w:val="center"/>
              <w:rPr>
                <w:rFonts w:ascii="Minion Pro" w:hAnsi="Minion Pro"/>
                <w:color w:val="auto"/>
              </w:rPr>
            </w:pPr>
            <w:r w:rsidRPr="005A2CBD">
              <w:rPr>
                <w:rFonts w:ascii="Minion Pro" w:eastAsia="Calibri" w:hAnsi="Minion Pro" w:cs="Times New Roman"/>
                <w:color w:val="auto"/>
              </w:rPr>
              <w:t>Acteur</w:t>
            </w:r>
          </w:p>
        </w:tc>
        <w:tc>
          <w:tcPr>
            <w:tcW w:w="7655" w:type="dxa"/>
            <w:vAlign w:val="center"/>
          </w:tcPr>
          <w:p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Action</w:t>
            </w:r>
          </w:p>
        </w:tc>
        <w:tc>
          <w:tcPr>
            <w:tcW w:w="4540" w:type="dxa"/>
            <w:vAlign w:val="center"/>
          </w:tcPr>
          <w:p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Commentaire</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7220E2" w:rsidP="009F2851">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rsidR="003B74BF"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Chaque mois, écrit sur la fich</w:t>
            </w:r>
            <w:r>
              <w:rPr>
                <w:rFonts w:ascii="Minion Pro" w:eastAsia="Calibri" w:hAnsi="Minion Pro" w:cs="Times New Roman"/>
              </w:rPr>
              <w:t>e de demande d’approvisionnement numérique</w:t>
            </w:r>
            <w:r w:rsidRPr="005A2CBD">
              <w:rPr>
                <w:rFonts w:ascii="Minion Pro" w:eastAsia="Calibri" w:hAnsi="Minion Pro" w:cs="Times New Roman"/>
              </w:rPr>
              <w:t xml:space="preserve"> les besoins éventuels en médicaments, consommables, produits d’entretien et fournitures de </w:t>
            </w:r>
            <w:r w:rsidR="009E57BF" w:rsidRPr="005A2CBD">
              <w:rPr>
                <w:rFonts w:ascii="Minion Pro" w:eastAsia="Calibri" w:hAnsi="Minion Pro" w:cs="Times New Roman"/>
              </w:rPr>
              <w:t xml:space="preserve">bureau </w:t>
            </w:r>
            <w:r w:rsidR="009E57BF">
              <w:rPr>
                <w:rFonts w:ascii="Minion Pro" w:eastAsia="Calibri" w:hAnsi="Minion Pro" w:cs="Times New Roman"/>
              </w:rPr>
              <w:t>pour</w:t>
            </w:r>
            <w:r>
              <w:rPr>
                <w:rFonts w:ascii="Minion Pro" w:eastAsia="Calibri" w:hAnsi="Minion Pro" w:cs="Times New Roman"/>
              </w:rPr>
              <w:t xml:space="preserve"> une éventuelle commande </w:t>
            </w:r>
            <w:r w:rsidRPr="005A2CBD">
              <w:rPr>
                <w:rFonts w:ascii="Minion Pro" w:eastAsia="Calibri" w:hAnsi="Minion Pro" w:cs="Times New Roman"/>
              </w:rPr>
              <w:t xml:space="preserve">dans le cadre de l’approvisionnement des </w:t>
            </w:r>
            <w:r>
              <w:rPr>
                <w:rFonts w:ascii="Minion Pro" w:eastAsia="Calibri" w:hAnsi="Minion Pro" w:cs="Times New Roman"/>
              </w:rPr>
              <w:t>stocks.</w:t>
            </w:r>
          </w:p>
          <w:p w:rsidR="00D50228" w:rsidRPr="005A2CBD"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w:t>
            </w:r>
            <w:r w:rsidR="00D50228" w:rsidRPr="005A2CBD">
              <w:rPr>
                <w:rFonts w:ascii="Minion Pro" w:eastAsia="Calibri" w:hAnsi="Minion Pro" w:cs="Times New Roman"/>
              </w:rPr>
              <w:t>Ouvre le fichier « PS01-EN21-02_Fichier Commande - NE PAS MODIFIER » et effectue la demande d’approvisionnement en suivant le mode opératoire associé</w:t>
            </w:r>
            <w:r>
              <w:rPr>
                <w:rFonts w:ascii="Minion Pro" w:eastAsia="Calibri" w:hAnsi="Minion Pro" w:cs="Times New Roman"/>
              </w:rPr>
              <w:t>)</w:t>
            </w:r>
          </w:p>
        </w:tc>
        <w:tc>
          <w:tcPr>
            <w:tcW w:w="4540" w:type="dxa"/>
            <w:vAlign w:val="center"/>
          </w:tcPr>
          <w:p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 xml:space="preserve">Emplacement du fichier et du mode opératoire associé : </w:t>
            </w:r>
          </w:p>
          <w:p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Dropbox</w:t>
            </w:r>
            <w:r>
              <w:rPr>
                <w:rFonts w:ascii="Minion Pro" w:eastAsia="Calibri" w:hAnsi="Minion Pro" w:cs="Times New Roman"/>
                <w:color w:val="auto"/>
              </w:rPr>
              <w:t xml:space="preserve"> PS01</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7220E2" w:rsidP="009F2851">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rsidR="00D50228" w:rsidRPr="005A2CBD"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 la clinique et au plateau on i</w:t>
            </w:r>
            <w:r w:rsidR="00D50228" w:rsidRPr="005A2CBD">
              <w:rPr>
                <w:rFonts w:ascii="Minion Pro" w:eastAsia="Calibri" w:hAnsi="Minion Pro" w:cs="Times New Roman"/>
              </w:rPr>
              <w:t>nforme le CAASG qu’une demande d’appro</w:t>
            </w:r>
            <w:r w:rsidR="004D73CC">
              <w:rPr>
                <w:rFonts w:ascii="Minion Pro" w:eastAsia="Calibri" w:hAnsi="Minion Pro" w:cs="Times New Roman"/>
              </w:rPr>
              <w:t>visionnement</w:t>
            </w:r>
            <w:r w:rsidR="00D50228" w:rsidRPr="005A2CBD">
              <w:rPr>
                <w:rFonts w:ascii="Minion Pro" w:eastAsia="Calibri" w:hAnsi="Minion Pro" w:cs="Times New Roman"/>
              </w:rPr>
              <w:t xml:space="preserve"> a été faite.</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D50228"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Reprend le fichier concerné, complète la liste en sélectionnant le fournisseur pour chaque produit,</w:t>
            </w:r>
            <w:r w:rsidR="00D07737">
              <w:rPr>
                <w:rFonts w:ascii="Minion Pro" w:eastAsia="Calibri" w:hAnsi="Minion Pro" w:cs="Times New Roman"/>
              </w:rPr>
              <w:t xml:space="preserve"> vérifie</w:t>
            </w:r>
            <w:r w:rsidR="004D73CC">
              <w:rPr>
                <w:rFonts w:ascii="Minion Pro" w:eastAsia="Calibri" w:hAnsi="Minion Pro" w:cs="Times New Roman"/>
              </w:rPr>
              <w:t xml:space="preserve"> la disponibilité et</w:t>
            </w:r>
            <w:r w:rsidR="00D07737">
              <w:rPr>
                <w:rFonts w:ascii="Minion Pro" w:eastAsia="Calibri" w:hAnsi="Minion Pro" w:cs="Times New Roman"/>
              </w:rPr>
              <w:t xml:space="preserve"> si les prix n’ont pas </w:t>
            </w:r>
            <w:r w:rsidR="009E57BF">
              <w:rPr>
                <w:rFonts w:ascii="Minion Pro" w:eastAsia="Calibri" w:hAnsi="Minion Pro" w:cs="Times New Roman"/>
              </w:rPr>
              <w:t>changé, puis</w:t>
            </w:r>
            <w:r w:rsidRPr="00726C6B">
              <w:rPr>
                <w:rFonts w:ascii="Minion Pro" w:eastAsia="Calibri" w:hAnsi="Minion Pro" w:cs="Times New Roman"/>
              </w:rPr>
              <w:t xml:space="preserve"> valide en cliquant sur « Générer les bons de commande »</w:t>
            </w:r>
          </w:p>
          <w:p w:rsidR="00D07737" w:rsidRDefault="009E57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w:t>
            </w:r>
            <w:r w:rsidR="00D07737">
              <w:rPr>
                <w:rFonts w:ascii="Minion Pro" w:eastAsia="Calibri" w:hAnsi="Minion Pro" w:cs="Times New Roman"/>
              </w:rPr>
              <w:t xml:space="preserve">vise par email et par téléphone la RAC de la disponibilité en ligne de ses demandes. </w:t>
            </w:r>
            <w:r w:rsidR="00D07737" w:rsidRPr="00F666F7">
              <w:rPr>
                <w:rFonts w:ascii="Minion Pro" w:eastAsia="Calibri" w:hAnsi="Minion Pro" w:cs="Times New Roman"/>
                <w:color w:val="FF0000"/>
              </w:rPr>
              <w:t>(</w:t>
            </w:r>
            <w:proofErr w:type="gramStart"/>
            <w:r w:rsidR="00D07737" w:rsidRPr="00F666F7">
              <w:rPr>
                <w:rFonts w:ascii="Minion Pro" w:eastAsia="Calibri" w:hAnsi="Minion Pro" w:cs="Times New Roman"/>
                <w:color w:val="FF0000"/>
              </w:rPr>
              <w:t>au</w:t>
            </w:r>
            <w:proofErr w:type="gramEnd"/>
            <w:r w:rsidR="00D07737" w:rsidRPr="00F666F7">
              <w:rPr>
                <w:rFonts w:ascii="Minion Pro" w:eastAsia="Calibri" w:hAnsi="Minion Pro" w:cs="Times New Roman"/>
                <w:color w:val="FF0000"/>
              </w:rPr>
              <w:t xml:space="preserve"> lieu d’envoyer toute la demande avec toutes les pièces à joindre</w:t>
            </w:r>
            <w:r w:rsidR="00D07737">
              <w:rPr>
                <w:rFonts w:ascii="Minion Pro" w:eastAsia="Calibri" w:hAnsi="Minion Pro" w:cs="Times New Roman"/>
                <w:color w:val="FF0000"/>
              </w:rPr>
              <w:t xml:space="preserve"> par email</w:t>
            </w:r>
            <w:r w:rsidR="00D07737" w:rsidRPr="00F666F7">
              <w:rPr>
                <w:rFonts w:ascii="Minion Pro" w:eastAsia="Calibri" w:hAnsi="Minion Pro" w:cs="Times New Roman"/>
                <w:color w:val="FF0000"/>
              </w:rPr>
              <w:t xml:space="preserve"> </w:t>
            </w:r>
            <w:proofErr w:type="spellStart"/>
            <w:r w:rsidR="00D07737" w:rsidRPr="00F666F7">
              <w:rPr>
                <w:rFonts w:ascii="Minion Pro" w:eastAsia="Calibri" w:hAnsi="Minion Pro" w:cs="Times New Roman"/>
                <w:color w:val="FF0000"/>
              </w:rPr>
              <w:t>serait il</w:t>
            </w:r>
            <w:proofErr w:type="spellEnd"/>
            <w:r w:rsidR="00D07737" w:rsidRPr="00F666F7">
              <w:rPr>
                <w:rFonts w:ascii="Minion Pro" w:eastAsia="Calibri" w:hAnsi="Minion Pro" w:cs="Times New Roman"/>
                <w:color w:val="FF0000"/>
              </w:rPr>
              <w:t xml:space="preserve"> pas mieux que la comptabilité fasse le suivi directement dans le système,</w:t>
            </w:r>
            <w:r w:rsidR="00D07737">
              <w:rPr>
                <w:rFonts w:ascii="Minion Pro" w:eastAsia="Calibri" w:hAnsi="Minion Pro" w:cs="Times New Roman"/>
                <w:color w:val="FF0000"/>
              </w:rPr>
              <w:t xml:space="preserve"> car tous les bons de commande y figurent déjà. Je suis obligé de lister les fournisseurs avec le montant</w:t>
            </w:r>
            <w:r w:rsidR="00D07737">
              <w:rPr>
                <w:rFonts w:ascii="Minion Pro" w:eastAsia="Calibri" w:hAnsi="Minion Pro" w:cs="Times New Roman"/>
              </w:rPr>
              <w:t xml:space="preserve"> </w:t>
            </w:r>
            <w:r w:rsidR="00D07737" w:rsidRPr="00F666F7">
              <w:rPr>
                <w:rFonts w:ascii="Minion Pro" w:eastAsia="Calibri" w:hAnsi="Minion Pro" w:cs="Times New Roman"/>
                <w:color w:val="FF0000"/>
              </w:rPr>
              <w:t>de leur cde en y joignant les pièces alors tout est déjà en ligne</w:t>
            </w:r>
          </w:p>
          <w:p w:rsidR="00D07737" w:rsidRPr="00726C6B" w:rsidRDefault="00D07737"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c>
          <w:tcPr>
            <w:tcW w:w="4540" w:type="dxa"/>
            <w:vAlign w:val="center"/>
          </w:tcPr>
          <w:p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La validation de la demande est automatique pour les demandes d’approvisionnement mensuelles</w:t>
            </w:r>
            <w:r w:rsidR="00D07737">
              <w:rPr>
                <w:rFonts w:ascii="Minion Pro" w:eastAsia="Calibri" w:hAnsi="Minion Pro" w:cs="Times New Roman"/>
              </w:rPr>
              <w:t xml:space="preserve"> </w:t>
            </w:r>
            <w:r w:rsidR="00D07737" w:rsidRPr="005A2CBD">
              <w:rPr>
                <w:rFonts w:ascii="Minion Pro" w:eastAsia="Calibri" w:hAnsi="Minion Pro" w:cs="Times New Roman"/>
              </w:rPr>
              <w:t>en médicaments, consommables, produits d’entretien et fournitures de bureau</w:t>
            </w:r>
            <w:r w:rsidRPr="00726C6B">
              <w:rPr>
                <w:rFonts w:ascii="Minion Pro" w:eastAsia="Calibri" w:hAnsi="Minion Pro" w:cs="Times New Roman"/>
              </w:rPr>
              <w:t>.</w:t>
            </w:r>
          </w:p>
          <w:p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Les bons de commandes sont automatiquement générés et enregistrés à cet emplacement</w:t>
            </w:r>
            <w:r>
              <w:rPr>
                <w:rFonts w:ascii="Minion Pro" w:eastAsia="Calibri" w:hAnsi="Minion Pro" w:cs="Times New Roman"/>
              </w:rPr>
              <w:t xml:space="preserve"> Dropbox PS01</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4D73CC" w:rsidP="009F2851">
            <w:pPr>
              <w:spacing w:before="120" w:after="120"/>
              <w:jc w:val="center"/>
              <w:rPr>
                <w:rFonts w:ascii="Minion Pro" w:eastAsia="Calibri" w:hAnsi="Minion Pro" w:cs="Times New Roman"/>
              </w:rPr>
            </w:pPr>
            <w:r>
              <w:rPr>
                <w:rFonts w:ascii="Minion Pro" w:eastAsia="Calibri" w:hAnsi="Minion Pro" w:cs="Times New Roman"/>
              </w:rPr>
              <w:lastRenderedPageBreak/>
              <w:t>RAC</w:t>
            </w:r>
          </w:p>
        </w:tc>
        <w:tc>
          <w:tcPr>
            <w:tcW w:w="7655" w:type="dxa"/>
            <w:vAlign w:val="center"/>
          </w:tcPr>
          <w:p w:rsidR="004D73CC" w:rsidRPr="005A2CBD" w:rsidRDefault="004D73CC" w:rsidP="004D73CC">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Établit un chèque à l’ordre du fournisseur </w:t>
            </w:r>
            <w:r>
              <w:rPr>
                <w:rFonts w:ascii="Minion Pro" w:hAnsi="Minion Pro"/>
                <w:color w:val="000000" w:themeColor="text1"/>
              </w:rPr>
              <w:t xml:space="preserve">choisi </w:t>
            </w:r>
            <w:r w:rsidRPr="005A2CBD">
              <w:rPr>
                <w:rFonts w:ascii="Minion Pro" w:hAnsi="Minion Pro"/>
                <w:color w:val="000000" w:themeColor="text1"/>
              </w:rPr>
              <w:t>et transmet :</w:t>
            </w:r>
          </w:p>
          <w:p w:rsidR="004D73CC" w:rsidRDefault="004D73CC" w:rsidP="004D73CC">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w:t>
            </w:r>
            <w:r w:rsidRPr="005A2CBD">
              <w:rPr>
                <w:rFonts w:ascii="Minion Pro" w:hAnsi="Minion Pro"/>
                <w:color w:val="000000" w:themeColor="text1"/>
              </w:rPr>
              <w:t xml:space="preserve">Le chèque signé </w:t>
            </w:r>
            <w:r>
              <w:rPr>
                <w:rFonts w:ascii="Minion Pro" w:hAnsi="Minion Pro"/>
                <w:color w:val="000000" w:themeColor="text1"/>
              </w:rPr>
              <w:t xml:space="preserve">avec une copie </w:t>
            </w:r>
            <w:r w:rsidRPr="005A2CBD">
              <w:rPr>
                <w:rFonts w:ascii="Minion Pro" w:hAnsi="Minion Pro"/>
                <w:color w:val="000000" w:themeColor="text1"/>
              </w:rPr>
              <w:t>au CAASG</w:t>
            </w:r>
          </w:p>
          <w:p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rsidR="00D50228" w:rsidRPr="005A2CBD" w:rsidRDefault="004D73CC"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En cas de paiement différé négocié avec certains fournisseurs (paiement 30 jours après), cette étape n’est pas réalisée directement après de la commande.</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4D73CC" w:rsidP="009F2851">
            <w:pPr>
              <w:spacing w:before="120" w:after="120"/>
              <w:jc w:val="center"/>
              <w:rPr>
                <w:rFonts w:ascii="Minion Pro" w:eastAsia="Calibri" w:hAnsi="Minion Pro" w:cs="Times New Roman"/>
              </w:rPr>
            </w:pPr>
            <w:r>
              <w:rPr>
                <w:rFonts w:ascii="Minion Pro" w:eastAsia="Calibri" w:hAnsi="Minion Pro" w:cs="Times New Roman"/>
              </w:rPr>
              <w:t>CAASG</w:t>
            </w:r>
          </w:p>
        </w:tc>
        <w:tc>
          <w:tcPr>
            <w:tcW w:w="7655" w:type="dxa"/>
            <w:vAlign w:val="center"/>
          </w:tcPr>
          <w:p w:rsidR="004D73CC" w:rsidRPr="005A2CBD" w:rsidRDefault="004D73CC"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Passe la commande en envoyant une copie du bon de commande au fournisseur choisi.</w:t>
            </w:r>
          </w:p>
        </w:tc>
        <w:tc>
          <w:tcPr>
            <w:tcW w:w="4540" w:type="dxa"/>
            <w:vAlign w:val="center"/>
          </w:tcPr>
          <w:p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4D7B37" w:rsidRPr="005A2CBD" w:rsidRDefault="004D7B37" w:rsidP="004D7B37">
            <w:pPr>
              <w:spacing w:before="120" w:after="120"/>
              <w:jc w:val="center"/>
              <w:rPr>
                <w:rFonts w:ascii="Minion Pro" w:eastAsia="Calibri" w:hAnsi="Minion Pro" w:cs="Times New Roman"/>
              </w:rPr>
            </w:pPr>
            <w:r>
              <w:rPr>
                <w:rFonts w:ascii="Minion Pro" w:eastAsia="Calibri" w:hAnsi="Minion Pro" w:cs="Times New Roman"/>
              </w:rPr>
              <w:t>Maîtresse Sage-Femme</w:t>
            </w:r>
          </w:p>
        </w:tc>
        <w:tc>
          <w:tcPr>
            <w:tcW w:w="7655" w:type="dxa"/>
            <w:vAlign w:val="center"/>
          </w:tcPr>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Au moment de la livraison, vérifie la conformité de la livraison, valide le bon de livraison si disponible et récupère la facture finale.</w:t>
            </w:r>
          </w:p>
        </w:tc>
        <w:tc>
          <w:tcPr>
            <w:tcW w:w="4540" w:type="dxa"/>
            <w:vAlign w:val="center"/>
          </w:tcPr>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Les bons de livraison ne sont pas toujours disponibles au niveau du fournisseur.</w:t>
            </w:r>
          </w:p>
        </w:tc>
      </w:tr>
      <w:tr w:rsidR="004D7B37"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4D7B37" w:rsidRPr="005A2CBD" w:rsidRDefault="004D7B37" w:rsidP="004D7B37">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Procède au règlement. </w:t>
            </w:r>
          </w:p>
          <w:p w:rsidR="004D7B37" w:rsidRPr="005A2CBD"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En cas de paiement</w:t>
            </w:r>
            <w:r w:rsidR="004D7B37" w:rsidRPr="005A2CBD">
              <w:rPr>
                <w:rFonts w:ascii="Minion Pro" w:hAnsi="Minion Pro"/>
                <w:color w:val="000000" w:themeColor="text1"/>
              </w:rPr>
              <w:t>, le fournisseur doit décharger sur une copie du chèque avec cachet (ou mention claire qui reflète son identification) et date.</w:t>
            </w:r>
          </w:p>
          <w:p w:rsidR="004D7B37" w:rsidRPr="005A2CBD" w:rsidRDefault="004D7B37" w:rsidP="0090584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905841" w:rsidRDefault="00905841" w:rsidP="004D7B37">
            <w:pPr>
              <w:spacing w:before="120" w:after="120"/>
              <w:jc w:val="center"/>
              <w:rPr>
                <w:rFonts w:ascii="Minion Pro" w:eastAsia="Calibri" w:hAnsi="Minion Pro" w:cs="Times New Roman"/>
              </w:rPr>
            </w:pPr>
          </w:p>
          <w:p w:rsidR="004D7B37" w:rsidRPr="005A2CBD" w:rsidRDefault="004D7B37" w:rsidP="004D7B37">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905841"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rsidR="004D7B37" w:rsidRPr="005A2CBD"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Transmet à la RAC</w:t>
            </w:r>
            <w:r w:rsidR="004D7B37" w:rsidRPr="005A2CBD">
              <w:rPr>
                <w:rFonts w:ascii="Minion Pro" w:hAnsi="Minion Pro"/>
                <w:color w:val="000000" w:themeColor="text1"/>
              </w:rPr>
              <w:t> :</w:t>
            </w:r>
          </w:p>
          <w:p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Facture finale</w:t>
            </w:r>
          </w:p>
          <w:p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Copie déchargée du chè</w:t>
            </w:r>
            <w:r w:rsidR="00905841">
              <w:rPr>
                <w:rFonts w:ascii="Minion Pro" w:hAnsi="Minion Pro"/>
                <w:color w:val="000000" w:themeColor="text1"/>
              </w:rPr>
              <w:t xml:space="preserve">que </w:t>
            </w:r>
          </w:p>
          <w:p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Bon de </w:t>
            </w:r>
            <w:proofErr w:type="gramStart"/>
            <w:r w:rsidRPr="005A2CBD">
              <w:rPr>
                <w:rFonts w:ascii="Minion Pro" w:hAnsi="Minion Pro"/>
                <w:color w:val="000000" w:themeColor="text1"/>
              </w:rPr>
              <w:t>livraison validé</w:t>
            </w:r>
            <w:proofErr w:type="gramEnd"/>
            <w:r w:rsidRPr="005A2CBD">
              <w:rPr>
                <w:rFonts w:ascii="Minion Pro" w:hAnsi="Minion Pro"/>
                <w:color w:val="000000" w:themeColor="text1"/>
              </w:rPr>
              <w:t xml:space="preserve"> si disponible</w:t>
            </w:r>
          </w:p>
        </w:tc>
        <w:tc>
          <w:tcPr>
            <w:tcW w:w="4540" w:type="dxa"/>
            <w:vAlign w:val="center"/>
          </w:tcPr>
          <w:p w:rsidR="00905841"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rsidR="00905841"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En cas de paiement différé, le CAASG transmet l’ensemble des factures impayées avec leur bon de livraison validé si disponible à la fin de chaque mois. </w:t>
            </w:r>
          </w:p>
          <w:p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Le règlement de l’ensemble des factures est alors réalisé tel décrit à l’étape 5.</w:t>
            </w:r>
          </w:p>
        </w:tc>
      </w:tr>
    </w:tbl>
    <w:p w:rsidR="00D50228" w:rsidRPr="005A2CBD" w:rsidRDefault="00D50228" w:rsidP="00D50228">
      <w:pPr>
        <w:pStyle w:val="Titr3"/>
      </w:pPr>
    </w:p>
    <w:p w:rsidR="00D50228" w:rsidRPr="005A2CBD" w:rsidRDefault="00D50228"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en urgence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Acteur</w:t>
            </w:r>
          </w:p>
        </w:tc>
        <w:tc>
          <w:tcPr>
            <w:tcW w:w="7655" w:type="dxa"/>
            <w:vAlign w:val="center"/>
          </w:tcPr>
          <w:p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En cas d’urgence, appelle le fournisseur pour passer commande. Informe le CAASG.</w:t>
            </w:r>
            <w:r w:rsidR="007220E2">
              <w:rPr>
                <w:rFonts w:ascii="Minion Pro" w:eastAsia="Calibri" w:hAnsi="Minion Pro" w:cs="Times New Roman"/>
              </w:rPr>
              <w:t xml:space="preserve"> Ensuite (</w:t>
            </w:r>
            <w:r w:rsidR="007220E2" w:rsidRPr="005A2CBD">
              <w:rPr>
                <w:rFonts w:ascii="Minion Pro" w:eastAsia="Calibri" w:hAnsi="Minion Pro" w:cs="Times New Roman"/>
              </w:rPr>
              <w:t xml:space="preserve">Ouvre le fichier « PS01-EN21-02_Fichier Commande - NE PAS MODIFIER » et effectue la demande d’approvisionnement en suivant le mode opératoire </w:t>
            </w:r>
            <w:r w:rsidR="009E57BF" w:rsidRPr="005A2CBD">
              <w:rPr>
                <w:rFonts w:ascii="Minion Pro" w:eastAsia="Calibri" w:hAnsi="Minion Pro" w:cs="Times New Roman"/>
              </w:rPr>
              <w:t>associé</w:t>
            </w:r>
            <w:r w:rsidR="009E57BF">
              <w:rPr>
                <w:rFonts w:ascii="Minion Pro" w:eastAsia="Calibri" w:hAnsi="Minion Pro" w:cs="Times New Roman"/>
              </w:rPr>
              <w:t>) (</w:t>
            </w:r>
            <w:r w:rsidR="007220E2" w:rsidRPr="007220E2">
              <w:rPr>
                <w:rFonts w:ascii="Minion Pro" w:eastAsia="Calibri" w:hAnsi="Minion Pro" w:cs="Times New Roman"/>
                <w:color w:val="FF0000"/>
              </w:rPr>
              <w:t>déso</w:t>
            </w:r>
            <w:bookmarkStart w:id="0" w:name="_GoBack"/>
            <w:bookmarkEnd w:id="0"/>
            <w:r w:rsidR="007220E2" w:rsidRPr="007220E2">
              <w:rPr>
                <w:rFonts w:ascii="Minion Pro" w:eastAsia="Calibri" w:hAnsi="Minion Pro" w:cs="Times New Roman"/>
                <w:color w:val="FF0000"/>
              </w:rPr>
              <w:t>rmais il nous faut toujours la traçabilité)</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D50228" w:rsidRPr="00726C6B"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D50228" w:rsidRPr="005A2CBD" w:rsidRDefault="00BC3AC4"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 xml:space="preserve">Génère et valide bon de </w:t>
            </w:r>
            <w:proofErr w:type="gramStart"/>
            <w:r>
              <w:rPr>
                <w:rFonts w:ascii="Minion Pro" w:eastAsia="Calibri" w:hAnsi="Minion Pro" w:cs="Times New Roman"/>
              </w:rPr>
              <w:t xml:space="preserve">commande, </w:t>
            </w:r>
            <w:r w:rsidR="00D50228" w:rsidRPr="005A2CBD">
              <w:rPr>
                <w:rFonts w:ascii="Minion Pro" w:eastAsia="Calibri" w:hAnsi="Minion Pro" w:cs="Times New Roman"/>
              </w:rPr>
              <w:t xml:space="preserve"> le</w:t>
            </w:r>
            <w:proofErr w:type="gramEnd"/>
            <w:r w:rsidR="00D50228" w:rsidRPr="005A2CBD">
              <w:rPr>
                <w:rFonts w:ascii="Minion Pro" w:eastAsia="Calibri" w:hAnsi="Minion Pro" w:cs="Times New Roman"/>
              </w:rPr>
              <w:t xml:space="preserve"> transmet à la </w:t>
            </w:r>
            <w:r>
              <w:rPr>
                <w:rFonts w:ascii="Minion Pro" w:eastAsia="Calibri" w:hAnsi="Minion Pro" w:cs="Times New Roman"/>
              </w:rPr>
              <w:t>RAC</w:t>
            </w:r>
          </w:p>
        </w:tc>
        <w:tc>
          <w:tcPr>
            <w:tcW w:w="4540" w:type="dxa"/>
            <w:vAlign w:val="center"/>
          </w:tcPr>
          <w:p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Si le paiement ne peut être différé, utiliser en priorité le bon de commande numérique afin d’avoir le calcul automatique du montant de la commande et donc d’accélérer le paiement.</w:t>
            </w:r>
          </w:p>
        </w:tc>
      </w:tr>
      <w:tr w:rsidR="00963563"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963563" w:rsidRPr="005A2CBD" w:rsidRDefault="00963563" w:rsidP="00963563">
            <w:pPr>
              <w:spacing w:before="120" w:after="120"/>
              <w:jc w:val="center"/>
              <w:rPr>
                <w:rFonts w:ascii="Minion Pro" w:eastAsia="Calibri" w:hAnsi="Minion Pro" w:cs="Times New Roman"/>
              </w:rPr>
            </w:pPr>
            <w:r>
              <w:rPr>
                <w:rFonts w:ascii="Minion Pro" w:eastAsia="Calibri" w:hAnsi="Minion Pro" w:cs="Times New Roman"/>
              </w:rPr>
              <w:t>Maîtresse Sage-Femme</w:t>
            </w:r>
          </w:p>
        </w:tc>
        <w:tc>
          <w:tcPr>
            <w:tcW w:w="7655" w:type="dxa"/>
            <w:vAlign w:val="center"/>
          </w:tcPr>
          <w:p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Au moment de la livraison, vérifie la conformité de la livraison, valide le bon de livraison si disponible et récupère la facture finale.</w:t>
            </w:r>
          </w:p>
        </w:tc>
        <w:tc>
          <w:tcPr>
            <w:tcW w:w="4540" w:type="dxa"/>
            <w:vAlign w:val="center"/>
          </w:tcPr>
          <w:p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963563"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963563" w:rsidRPr="005A2CBD" w:rsidRDefault="00963563" w:rsidP="00963563">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lang w:eastAsia="fr-FR"/>
              </w:rPr>
              <w:t>A la fin de chaque mois, transmet les factures impayées à la comptabilité.</w:t>
            </w:r>
          </w:p>
        </w:tc>
        <w:tc>
          <w:tcPr>
            <w:tcW w:w="4540" w:type="dxa"/>
            <w:vAlign w:val="center"/>
          </w:tcPr>
          <w:p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Le règlement s’effectue ensuite comme pour les demandes d’approvisionnement mensuelles.</w:t>
            </w:r>
          </w:p>
        </w:tc>
      </w:tr>
    </w:tbl>
    <w:p w:rsidR="00D50228" w:rsidRPr="005A2CBD" w:rsidRDefault="00D50228" w:rsidP="00D50228">
      <w:pPr>
        <w:spacing w:before="120" w:after="120" w:line="240" w:lineRule="auto"/>
        <w:jc w:val="both"/>
        <w:rPr>
          <w:rFonts w:ascii="Minion Pro" w:eastAsia="Calibri" w:hAnsi="Minion Pro" w:cs="Times New Roman"/>
          <w:lang w:eastAsia="fr-FR"/>
        </w:rPr>
      </w:pPr>
    </w:p>
    <w:p w:rsidR="00D50228" w:rsidRDefault="00D50228"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Demandes ponctuelles (mobilier, matériel informatique, électroménager, gros matériel médical…)</w:t>
      </w:r>
    </w:p>
    <w:p w:rsidR="00F62086" w:rsidRPr="00F62086" w:rsidRDefault="00F62086" w:rsidP="00D50228">
      <w:pPr>
        <w:keepNext/>
        <w:keepLines/>
        <w:spacing w:before="40" w:after="120" w:line="240" w:lineRule="auto"/>
        <w:ind w:firstLine="284"/>
        <w:outlineLvl w:val="1"/>
        <w:rPr>
          <w:rFonts w:ascii="Minion Pro" w:eastAsia="MS Gothic" w:hAnsi="Minion Pro" w:cs="Times New Roman"/>
          <w:bCs/>
          <w:color w:val="FF0000"/>
          <w:sz w:val="26"/>
          <w:szCs w:val="26"/>
          <w:lang w:eastAsia="fr-FR"/>
        </w:rPr>
      </w:pPr>
      <w:r w:rsidRPr="00F62086">
        <w:rPr>
          <w:rFonts w:ascii="Minion Pro" w:eastAsia="MS Gothic" w:hAnsi="Minion Pro" w:cs="Times New Roman"/>
          <w:bCs/>
          <w:color w:val="FF0000"/>
          <w:sz w:val="26"/>
          <w:szCs w:val="26"/>
          <w:lang w:eastAsia="fr-FR"/>
        </w:rPr>
        <w:t>Toute cette partie est à revoir car tout achat qui excède 50000f nécessite une facture pro forma</w:t>
      </w:r>
      <w:r w:rsidR="00165306">
        <w:rPr>
          <w:rFonts w:ascii="Minion Pro" w:eastAsia="MS Gothic" w:hAnsi="Minion Pro" w:cs="Times New Roman"/>
          <w:bCs/>
          <w:color w:val="FF0000"/>
          <w:sz w:val="26"/>
          <w:szCs w:val="26"/>
          <w:lang w:eastAsia="fr-FR"/>
        </w:rPr>
        <w:t xml:space="preserve"> maintenant</w:t>
      </w:r>
    </w:p>
    <w:p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Achats nécessitant une facture pro-forma</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médical &gt;= 50 000 francs</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Gros mobilier &gt;= 100 000 francs</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informatique &gt;= 50 000 francs</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Climatisation</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lastRenderedPageBreak/>
        <w:t>Electroménager &gt;= 100 000 francs</w:t>
      </w:r>
    </w:p>
    <w:p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Achats de nécessitant pas de facture de pro-forma :</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Petit matériel médical &lt; 50 000 francs</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mobilier &lt; 100 000 francs</w:t>
      </w:r>
    </w:p>
    <w:p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matériel informatique &lt; 50 000 francs</w:t>
      </w:r>
    </w:p>
    <w:p w:rsidR="004F56DD" w:rsidRPr="004F56DD" w:rsidRDefault="00D50228" w:rsidP="004F56DD">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électroménager &lt; 100 000 francs</w:t>
      </w:r>
    </w:p>
    <w:p w:rsidR="004F56DD" w:rsidRDefault="004F56DD" w:rsidP="004F56DD">
      <w:pPr>
        <w:pStyle w:val="Titr3"/>
      </w:pPr>
      <w:r>
        <w:t>Achats nécessitant de présenter plusieurs offres</w:t>
      </w:r>
    </w:p>
    <w:p w:rsidR="004F56DD" w:rsidRPr="004F56DD" w:rsidRDefault="004F56DD" w:rsidP="004F56DD">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Matériel médical &gt;= 1 000 000 francs</w:t>
      </w:r>
    </w:p>
    <w:p w:rsidR="004F56DD" w:rsidRPr="004F56DD" w:rsidRDefault="004F56DD" w:rsidP="004F56DD">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Autre matériel &gt;= 250 000 francs</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Acteur</w:t>
            </w:r>
          </w:p>
        </w:tc>
        <w:tc>
          <w:tcPr>
            <w:tcW w:w="7655" w:type="dxa"/>
            <w:vAlign w:val="center"/>
          </w:tcPr>
          <w:p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Usager</w:t>
            </w:r>
          </w:p>
        </w:tc>
        <w:tc>
          <w:tcPr>
            <w:tcW w:w="7655" w:type="dxa"/>
            <w:vAlign w:val="center"/>
          </w:tcPr>
          <w:p w:rsidR="00D50228" w:rsidRPr="005A2CBD" w:rsidRDefault="00D50228" w:rsidP="00260FF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r w:rsidRPr="005A2CBD">
              <w:rPr>
                <w:rFonts w:ascii="Minion Pro" w:eastAsia="Calibri" w:hAnsi="Minion Pro" w:cs="Times New Roman"/>
              </w:rPr>
              <w:t>Ecrit sur la fiche d’incident les besoins éventuels en mobilier, matériel informatique, etc…</w:t>
            </w:r>
            <w:r w:rsidR="00260FF1">
              <w:rPr>
                <w:rFonts w:ascii="Minion Pro" w:eastAsia="Calibri" w:hAnsi="Minion Pro" w:cs="Times New Roman"/>
              </w:rPr>
              <w:t xml:space="preserve">  </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Usager</w:t>
            </w:r>
          </w:p>
        </w:tc>
        <w:tc>
          <w:tcPr>
            <w:tcW w:w="7655"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 la clinique, déposent les fiches remplies au niveau du bureau du (de la) chargé(e) des achats et des services généraux. Au plateau, les fiches sont scannées et envoyées au CAASG.</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Contacte les fournisseurs concernés et s’informe de la disponibilité et des prix.</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Pour le gros matériel médical, au minimum deux offres doivent être présentées.</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7655"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Constitue la liasse de documents à tr</w:t>
            </w:r>
            <w:r w:rsidR="00260FF1">
              <w:rPr>
                <w:rFonts w:ascii="Minion Pro" w:eastAsia="Calibri" w:hAnsi="Minion Pro" w:cs="Times New Roman"/>
              </w:rPr>
              <w:t>ansmettre à la RAC</w:t>
            </w:r>
            <w:r w:rsidRPr="005A2CBD">
              <w:rPr>
                <w:rFonts w:ascii="Minion Pro" w:eastAsia="Calibri" w:hAnsi="Minion Pro" w:cs="Times New Roman"/>
              </w:rPr>
              <w:t xml:space="preserve"> pour validation de la demande avec la Direction :</w:t>
            </w:r>
          </w:p>
          <w:p w:rsidR="00D50228" w:rsidRPr="005A2CBD" w:rsidRDefault="00D50228" w:rsidP="009F2851">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Bon de commande interne</w:t>
            </w:r>
          </w:p>
          <w:p w:rsidR="00D50228" w:rsidRPr="005A2CBD" w:rsidRDefault="00D50228" w:rsidP="009F2851">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Facture pro-forma du fournisseur choisi le cas échéant (voir la liste des achats nécessitant une facture pro-forma définie ci-dessous)</w:t>
            </w:r>
          </w:p>
        </w:tc>
        <w:tc>
          <w:tcPr>
            <w:tcW w:w="4540" w:type="dxa"/>
            <w:vAlign w:val="center"/>
          </w:tcPr>
          <w:p w:rsidR="00D50228" w:rsidRPr="005A2CBD" w:rsidRDefault="00D50228" w:rsidP="00260FF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Selon l’urgence de la requête, l’envoi peut se faire par email (avec les documents scannés) ou par coursier (avec les documents originaux). </w:t>
            </w:r>
          </w:p>
        </w:tc>
      </w:tr>
      <w:tr w:rsidR="00D50228" w:rsidRPr="005A2CBD"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Direction</w:t>
            </w:r>
          </w:p>
        </w:tc>
        <w:tc>
          <w:tcPr>
            <w:tcW w:w="7655"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Valide ou invalide la demande et communique la décision au CAASG.</w:t>
            </w:r>
          </w:p>
        </w:tc>
        <w:tc>
          <w:tcPr>
            <w:tcW w:w="4540" w:type="dxa"/>
            <w:vAlign w:val="center"/>
          </w:tcPr>
          <w:p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rsidR="00D50228" w:rsidRPr="005A2CBD" w:rsidRDefault="00D50228" w:rsidP="00D50228">
      <w:pPr>
        <w:spacing w:before="120" w:after="120" w:line="240" w:lineRule="auto"/>
        <w:ind w:firstLine="284"/>
        <w:jc w:val="both"/>
        <w:rPr>
          <w:rFonts w:ascii="Minion Pro" w:eastAsia="Calibri" w:hAnsi="Minion Pro" w:cs="Times New Roman"/>
        </w:rPr>
      </w:pPr>
    </w:p>
    <w:p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lastRenderedPageBreak/>
        <w:t>Cas 1 – Paiement comptant à la livraison</w:t>
      </w:r>
    </w:p>
    <w:p w:rsidR="00D50228" w:rsidRPr="005A2CBD" w:rsidRDefault="00D50228" w:rsidP="00D50228">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comptant à la livraison se fait selon les mêmes étapes que le paiement des demandes d’approvisionnement mensuelles.</w:t>
      </w:r>
    </w:p>
    <w:p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p>
    <w:p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Cas 2 – Paiement d’un acompte à la commande</w:t>
      </w:r>
    </w:p>
    <w:p w:rsidR="00D50228" w:rsidRPr="005A2CBD" w:rsidRDefault="00D50228" w:rsidP="00D50228">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d’un acompte à la commande ne peut se faire que sur la base d’une facture pro-forma.</w:t>
      </w:r>
    </w:p>
    <w:tbl>
      <w:tblPr>
        <w:tblStyle w:val="GridTable1Light-Accent41"/>
        <w:tblW w:w="14033" w:type="dxa"/>
        <w:jc w:val="center"/>
        <w:tblLook w:val="0400" w:firstRow="0" w:lastRow="0" w:firstColumn="0" w:lastColumn="0" w:noHBand="0" w:noVBand="1"/>
      </w:tblPr>
      <w:tblGrid>
        <w:gridCol w:w="1838"/>
        <w:gridCol w:w="8222"/>
        <w:gridCol w:w="3973"/>
      </w:tblGrid>
      <w:tr w:rsidR="00D50228" w:rsidRPr="005A2CBD" w:rsidTr="009F2851">
        <w:trPr>
          <w:trHeight w:val="624"/>
          <w:jc w:val="center"/>
        </w:trPr>
        <w:tc>
          <w:tcPr>
            <w:tcW w:w="1838" w:type="dxa"/>
            <w:vAlign w:val="center"/>
          </w:tcPr>
          <w:p w:rsidR="00D50228" w:rsidRPr="005A2CBD" w:rsidRDefault="00644268" w:rsidP="009F2851">
            <w:pPr>
              <w:spacing w:before="120" w:after="120"/>
              <w:jc w:val="center"/>
              <w:rPr>
                <w:rFonts w:ascii="Minion Pro" w:eastAsia="Calibri" w:hAnsi="Minion Pro" w:cs="Times New Roman"/>
              </w:rPr>
            </w:pPr>
            <w:r>
              <w:rPr>
                <w:rFonts w:ascii="Minion Pro" w:eastAsia="Calibri" w:hAnsi="Minion Pro" w:cs="Times New Roman"/>
              </w:rPr>
              <w:t>RAC</w:t>
            </w:r>
          </w:p>
        </w:tc>
        <w:tc>
          <w:tcPr>
            <w:tcW w:w="8222" w:type="dxa"/>
            <w:vAlign w:val="center"/>
          </w:tcPr>
          <w:p w:rsidR="00D50228" w:rsidRPr="005A2CBD" w:rsidRDefault="00D50228" w:rsidP="00644268">
            <w:pPr>
              <w:spacing w:before="120" w:after="120"/>
              <w:rPr>
                <w:rFonts w:ascii="Minion Pro" w:eastAsia="Calibri" w:hAnsi="Minion Pro" w:cs="Times New Roman"/>
              </w:rPr>
            </w:pPr>
            <w:r w:rsidRPr="005A2CBD">
              <w:rPr>
                <w:rFonts w:ascii="Minion Pro" w:eastAsia="Calibri" w:hAnsi="Minion Pro" w:cs="Times New Roman"/>
              </w:rPr>
              <w:t>Établit un chèque à l’ordre du fournisseur et transmet :</w:t>
            </w:r>
          </w:p>
          <w:p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Le chèque signé</w:t>
            </w:r>
            <w:r w:rsidR="00644268">
              <w:rPr>
                <w:rFonts w:ascii="Minion Pro" w:eastAsia="Calibri" w:hAnsi="Minion Pro" w:cs="Times New Roman"/>
              </w:rPr>
              <w:t xml:space="preserve"> avec copie</w:t>
            </w:r>
            <w:r w:rsidRPr="005A2CBD">
              <w:rPr>
                <w:rFonts w:ascii="Minion Pro" w:eastAsia="Calibri" w:hAnsi="Minion Pro" w:cs="Times New Roman"/>
              </w:rPr>
              <w:t xml:space="preserve"> au CAASG</w:t>
            </w:r>
          </w:p>
        </w:tc>
        <w:tc>
          <w:tcPr>
            <w:tcW w:w="3973" w:type="dxa"/>
            <w:vAlign w:val="center"/>
          </w:tcPr>
          <w:p w:rsidR="00D50228" w:rsidRPr="005A2CBD" w:rsidRDefault="00D50228" w:rsidP="009F2851">
            <w:pPr>
              <w:spacing w:before="120" w:after="120"/>
              <w:jc w:val="both"/>
              <w:rPr>
                <w:rFonts w:ascii="Minion Pro" w:eastAsia="Calibri" w:hAnsi="Minion Pro" w:cs="Times New Roman"/>
              </w:rPr>
            </w:pPr>
          </w:p>
        </w:tc>
      </w:tr>
      <w:tr w:rsidR="00D50228" w:rsidRPr="005A2CBD" w:rsidTr="009F2851">
        <w:trPr>
          <w:trHeight w:val="624"/>
          <w:jc w:val="center"/>
        </w:trPr>
        <w:tc>
          <w:tcPr>
            <w:tcW w:w="1838" w:type="dxa"/>
            <w:vAlign w:val="center"/>
          </w:tcPr>
          <w:p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CAASG</w:t>
            </w:r>
          </w:p>
        </w:tc>
        <w:tc>
          <w:tcPr>
            <w:tcW w:w="8222" w:type="dxa"/>
            <w:vAlign w:val="center"/>
          </w:tcPr>
          <w:p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Passe la commande en envoyant une copie du bon de commande au fournisseur choisi et procède au règlement de l’acompte.  Le fournisseur doit décharger sur une copie du chèque avec cachet ou mention claire qui reflète son identification.</w:t>
            </w:r>
          </w:p>
          <w:p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 xml:space="preserve">Le règlement à la livraison </w:t>
            </w:r>
            <w:r w:rsidRPr="005A2CBD">
              <w:rPr>
                <w:rFonts w:ascii="Minion Pro" w:eastAsia="Calibri" w:hAnsi="Minion Pro" w:cs="Times New Roman"/>
                <w:lang w:eastAsia="fr-FR"/>
              </w:rPr>
              <w:t>se fait selon les mêmes étapes que le paiement des demandes d’approvisionnement mensuelles</w:t>
            </w:r>
            <w:r w:rsidRPr="005A2CBD">
              <w:rPr>
                <w:rFonts w:ascii="Minion Pro" w:eastAsia="Calibri" w:hAnsi="Minion Pro" w:cs="Times New Roman"/>
              </w:rPr>
              <w:t>.</w:t>
            </w:r>
          </w:p>
        </w:tc>
        <w:tc>
          <w:tcPr>
            <w:tcW w:w="3973" w:type="dxa"/>
            <w:vAlign w:val="center"/>
          </w:tcPr>
          <w:p w:rsidR="00D50228" w:rsidRPr="005A2CBD" w:rsidRDefault="00D50228" w:rsidP="009F2851">
            <w:pPr>
              <w:spacing w:before="120" w:after="120"/>
              <w:jc w:val="both"/>
              <w:rPr>
                <w:rFonts w:ascii="Minion Pro" w:eastAsia="Calibri" w:hAnsi="Minion Pro" w:cs="Times New Roman"/>
              </w:rPr>
            </w:pPr>
            <w:r w:rsidRPr="005A2CBD">
              <w:rPr>
                <w:rFonts w:ascii="Minion Pro" w:eastAsia="Calibri" w:hAnsi="Minion Pro" w:cs="Times New Roman"/>
              </w:rPr>
              <w:t>Le CAASG doit transmettre à la comptabilité :</w:t>
            </w:r>
          </w:p>
          <w:p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Facture finale de l’acompte</w:t>
            </w:r>
          </w:p>
          <w:p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Copie déchargée du chèque</w:t>
            </w:r>
          </w:p>
        </w:tc>
      </w:tr>
    </w:tbl>
    <w:p w:rsidR="00D50228" w:rsidRPr="005A2CBD" w:rsidRDefault="00D50228" w:rsidP="00D50228">
      <w:pPr>
        <w:spacing w:before="120" w:after="120" w:line="240" w:lineRule="auto"/>
        <w:jc w:val="both"/>
        <w:rPr>
          <w:rFonts w:ascii="Minion Pro" w:eastAsia="Calibri" w:hAnsi="Minion Pro" w:cs="Times New Roman"/>
          <w:sz w:val="10"/>
        </w:rPr>
      </w:pPr>
    </w:p>
    <w:p w:rsidR="00D50228" w:rsidRPr="005A2CBD" w:rsidRDefault="00D50228" w:rsidP="00D50228">
      <w:pPr>
        <w:rPr>
          <w:rFonts w:ascii="Minion Pro" w:hAnsi="Minion Pro"/>
        </w:rPr>
      </w:pPr>
    </w:p>
    <w:p w:rsidR="00D50228" w:rsidRDefault="00D50228"/>
    <w:sectPr w:rsidR="00D50228" w:rsidSect="00616205">
      <w:headerReference w:type="default" r:id="rId7"/>
      <w:footerReference w:type="even" r:id="rId8"/>
      <w:footerReference w:type="first" r:id="rId9"/>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C0F" w:rsidRDefault="00714C0F" w:rsidP="00D50228">
      <w:pPr>
        <w:spacing w:after="0" w:line="240" w:lineRule="auto"/>
      </w:pPr>
      <w:r>
        <w:separator/>
      </w:r>
    </w:p>
  </w:endnote>
  <w:endnote w:type="continuationSeparator" w:id="0">
    <w:p w:rsidR="00714C0F" w:rsidRDefault="00714C0F" w:rsidP="00D5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51C" w:rsidRDefault="002D05FC" w:rsidP="00061FC2">
    <w:pPr>
      <w:pStyle w:val="Pieddepage"/>
      <w:rPr>
        <w:rStyle w:val="Numrodepage"/>
      </w:rPr>
    </w:pPr>
    <w:r>
      <w:rPr>
        <w:rStyle w:val="Numrodepage"/>
      </w:rPr>
      <w:fldChar w:fldCharType="begin"/>
    </w:r>
    <w:r w:rsidR="00301FB7">
      <w:rPr>
        <w:rStyle w:val="Numrodepage"/>
      </w:rPr>
      <w:instrText xml:space="preserve">PAGE  </w:instrText>
    </w:r>
    <w:r>
      <w:rPr>
        <w:rStyle w:val="Numrodepage"/>
      </w:rPr>
      <w:fldChar w:fldCharType="end"/>
    </w:r>
  </w:p>
  <w:p w:rsidR="0083351C" w:rsidRDefault="00714C0F" w:rsidP="00061FC2">
    <w:pPr>
      <w:pStyle w:val="Pieddepage"/>
    </w:pPr>
  </w:p>
  <w:p w:rsidR="005E62A4" w:rsidRDefault="00714C0F" w:rsidP="00061FC2"/>
  <w:p w:rsidR="005E62A4" w:rsidRDefault="00714C0F"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rsidR="0083351C" w:rsidRDefault="00714C0F" w:rsidP="00061FC2">
            <w:pPr>
              <w:pStyle w:val="Pieddepage"/>
            </w:pPr>
          </w:p>
          <w:p w:rsidR="0083351C" w:rsidRDefault="00714C0F"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C0F" w:rsidRDefault="00714C0F" w:rsidP="00D50228">
      <w:pPr>
        <w:spacing w:after="0" w:line="240" w:lineRule="auto"/>
      </w:pPr>
      <w:r>
        <w:separator/>
      </w:r>
    </w:p>
  </w:footnote>
  <w:footnote w:type="continuationSeparator" w:id="0">
    <w:p w:rsidR="00714C0F" w:rsidRDefault="00714C0F" w:rsidP="00D5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14000" w:type="dxa"/>
      <w:tblLook w:val="04A0" w:firstRow="1" w:lastRow="0" w:firstColumn="1" w:lastColumn="0" w:noHBand="0" w:noVBand="1"/>
    </w:tblPr>
    <w:tblGrid>
      <w:gridCol w:w="3727"/>
      <w:gridCol w:w="6548"/>
      <w:gridCol w:w="3725"/>
    </w:tblGrid>
    <w:tr w:rsidR="00847831"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rsidR="00847831" w:rsidRDefault="00301FB7" w:rsidP="00CA45AF">
          <w:r>
            <w:rPr>
              <w:noProof/>
              <w:lang w:eastAsia="fr-FR"/>
            </w:rPr>
            <w:drawing>
              <wp:inline distT="0" distB="0" distL="0" distR="0">
                <wp:extent cx="1944914" cy="56500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cs="Times New Roman"/>
              <w:b w:val="0"/>
              <w:color w:val="7030A0"/>
            </w:rPr>
          </w:pPr>
          <w:r w:rsidRPr="00D50228">
            <w:rPr>
              <w:rFonts w:ascii="Minion Pro" w:hAnsi="Minion Pro" w:cs="Times New Roman"/>
              <w:b w:val="0"/>
              <w:color w:val="7030A0"/>
            </w:rPr>
            <w:t>Procédure</w:t>
          </w:r>
        </w:p>
        <w:p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7030A0"/>
            </w:rPr>
          </w:pPr>
          <w:r w:rsidRPr="00D50228">
            <w:rPr>
              <w:rFonts w:ascii="Minion Pro" w:hAnsi="Minion Pro" w:cs="Times New Roman"/>
              <w:b w:val="0"/>
              <w:color w:val="7030A0"/>
            </w:rPr>
            <w:t>Approvisionnement et achats</w:t>
          </w:r>
        </w:p>
      </w:tc>
      <w:tc>
        <w:tcPr>
          <w:tcW w:w="3725" w:type="dxa"/>
          <w:vAlign w:val="center"/>
        </w:tcPr>
        <w:p w:rsidR="00847831" w:rsidRPr="00965C62" w:rsidRDefault="00301FB7" w:rsidP="008478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0378">
            <w:rPr>
              <w:rFonts w:ascii="Minion Pro" w:hAnsi="Minion Pro" w:cs="Times New Roman"/>
              <w:b w:val="0"/>
            </w:rPr>
            <w:t xml:space="preserve">Page : </w:t>
          </w:r>
          <w:r w:rsidR="002D05FC" w:rsidRPr="009A0378">
            <w:rPr>
              <w:rFonts w:ascii="Minion Pro" w:hAnsi="Minion Pro" w:cs="Times New Roman"/>
            </w:rPr>
            <w:fldChar w:fldCharType="begin"/>
          </w:r>
          <w:r w:rsidRPr="009A0378">
            <w:rPr>
              <w:rFonts w:ascii="Minion Pro" w:hAnsi="Minion Pro" w:cs="Times New Roman"/>
              <w:b w:val="0"/>
            </w:rPr>
            <w:instrText>PAGE   \* MERGEFORMAT</w:instrText>
          </w:r>
          <w:r w:rsidR="002D05FC" w:rsidRPr="009A0378">
            <w:rPr>
              <w:rFonts w:ascii="Minion Pro" w:hAnsi="Minion Pro" w:cs="Times New Roman"/>
            </w:rPr>
            <w:fldChar w:fldCharType="separate"/>
          </w:r>
          <w:r w:rsidR="00CC2819">
            <w:rPr>
              <w:rFonts w:ascii="Minion Pro" w:hAnsi="Minion Pro" w:cs="Times New Roman"/>
              <w:b w:val="0"/>
              <w:noProof/>
            </w:rPr>
            <w:t>5</w:t>
          </w:r>
          <w:r w:rsidR="002D05FC" w:rsidRPr="009A0378">
            <w:rPr>
              <w:rFonts w:ascii="Minion Pro" w:hAnsi="Minion Pro" w:cs="Times New Roman"/>
            </w:rPr>
            <w:fldChar w:fldCharType="end"/>
          </w:r>
        </w:p>
      </w:tc>
    </w:tr>
  </w:tbl>
  <w:p w:rsidR="007E0439" w:rsidRPr="00D16626" w:rsidRDefault="00714C0F" w:rsidP="001249E6">
    <w:pPr>
      <w:pStyle w:val="En-tte"/>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2AA"/>
    <w:multiLevelType w:val="hybridMultilevel"/>
    <w:tmpl w:val="CAE8E2E0"/>
    <w:lvl w:ilvl="0" w:tplc="D5DACC5E">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ECF0EBB"/>
    <w:multiLevelType w:val="hybridMultilevel"/>
    <w:tmpl w:val="DCC27710"/>
    <w:lvl w:ilvl="0" w:tplc="C9FAFE3C">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228"/>
    <w:rsid w:val="00120EFE"/>
    <w:rsid w:val="0014164C"/>
    <w:rsid w:val="00165306"/>
    <w:rsid w:val="00260FF1"/>
    <w:rsid w:val="002D05FC"/>
    <w:rsid w:val="00301FB7"/>
    <w:rsid w:val="00310D89"/>
    <w:rsid w:val="00372BE1"/>
    <w:rsid w:val="003A4A0E"/>
    <w:rsid w:val="003B74BF"/>
    <w:rsid w:val="00433035"/>
    <w:rsid w:val="004D1A50"/>
    <w:rsid w:val="004D73CC"/>
    <w:rsid w:val="004D7B37"/>
    <w:rsid w:val="004F56DD"/>
    <w:rsid w:val="005F3B2F"/>
    <w:rsid w:val="00644268"/>
    <w:rsid w:val="00694926"/>
    <w:rsid w:val="006B10A1"/>
    <w:rsid w:val="00714C0F"/>
    <w:rsid w:val="007220E2"/>
    <w:rsid w:val="007263D5"/>
    <w:rsid w:val="007751EB"/>
    <w:rsid w:val="007B3097"/>
    <w:rsid w:val="008B48AD"/>
    <w:rsid w:val="00905841"/>
    <w:rsid w:val="00963563"/>
    <w:rsid w:val="009D2A48"/>
    <w:rsid w:val="009E57BF"/>
    <w:rsid w:val="00A019DA"/>
    <w:rsid w:val="00A611F1"/>
    <w:rsid w:val="00A743D9"/>
    <w:rsid w:val="00BC3AC4"/>
    <w:rsid w:val="00CA45AF"/>
    <w:rsid w:val="00CC2819"/>
    <w:rsid w:val="00D07737"/>
    <w:rsid w:val="00D32091"/>
    <w:rsid w:val="00D50228"/>
    <w:rsid w:val="00EE0085"/>
    <w:rsid w:val="00F62086"/>
    <w:rsid w:val="00F66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2DEC"/>
  <w15:docId w15:val="{3E75C9A2-E417-42B5-B387-482939D0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0228"/>
  </w:style>
  <w:style w:type="paragraph" w:styleId="Titre2">
    <w:name w:val="heading 2"/>
    <w:basedOn w:val="Normal"/>
    <w:next w:val="Normal"/>
    <w:link w:val="Titre2Car"/>
    <w:uiPriority w:val="9"/>
    <w:semiHidden/>
    <w:unhideWhenUsed/>
    <w:qFormat/>
    <w:rsid w:val="00D502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50228"/>
    <w:rPr>
      <w:rFonts w:asciiTheme="majorHAnsi" w:eastAsiaTheme="majorEastAsia" w:hAnsiTheme="majorHAnsi" w:cstheme="majorBidi"/>
      <w:color w:val="2F5496" w:themeColor="accent1" w:themeShade="BF"/>
      <w:sz w:val="26"/>
      <w:szCs w:val="26"/>
    </w:rPr>
  </w:style>
  <w:style w:type="paragraph" w:styleId="Pieddepage">
    <w:name w:val="footer"/>
    <w:basedOn w:val="Normal"/>
    <w:link w:val="PieddepageCar"/>
    <w:uiPriority w:val="99"/>
    <w:unhideWhenUsed/>
    <w:rsid w:val="00D50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228"/>
  </w:style>
  <w:style w:type="paragraph" w:styleId="En-tte">
    <w:name w:val="header"/>
    <w:basedOn w:val="Normal"/>
    <w:link w:val="En-tteCar"/>
    <w:uiPriority w:val="99"/>
    <w:unhideWhenUsed/>
    <w:rsid w:val="00D50228"/>
    <w:pPr>
      <w:tabs>
        <w:tab w:val="center" w:pos="4536"/>
        <w:tab w:val="right" w:pos="9072"/>
      </w:tabs>
      <w:spacing w:after="0" w:line="240" w:lineRule="auto"/>
    </w:pPr>
  </w:style>
  <w:style w:type="character" w:customStyle="1" w:styleId="En-tteCar">
    <w:name w:val="En-tête Car"/>
    <w:basedOn w:val="Policepardfaut"/>
    <w:link w:val="En-tte"/>
    <w:uiPriority w:val="99"/>
    <w:rsid w:val="00D50228"/>
  </w:style>
  <w:style w:type="character" w:styleId="Numrodepage">
    <w:name w:val="page number"/>
    <w:basedOn w:val="Policepardfaut"/>
    <w:rsid w:val="00D50228"/>
  </w:style>
  <w:style w:type="table" w:customStyle="1" w:styleId="TableauGrille1Clair-Accentuation41">
    <w:name w:val="Tableau Grille 1 Clair - Accentuation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styleId="Sansinterligne">
    <w:name w:val="No Spacing"/>
    <w:uiPriority w:val="1"/>
    <w:qFormat/>
    <w:rsid w:val="00D50228"/>
    <w:pPr>
      <w:spacing w:before="120" w:after="120" w:line="240" w:lineRule="auto"/>
    </w:pPr>
    <w:rPr>
      <w:rFonts w:ascii="Times New Roman" w:hAnsi="Times New Roman"/>
      <w:color w:val="0070C0"/>
    </w:rPr>
  </w:style>
  <w:style w:type="paragraph" w:customStyle="1" w:styleId="Titr3">
    <w:name w:val="Titr3"/>
    <w:basedOn w:val="Normal"/>
    <w:link w:val="Titr3Car"/>
    <w:qFormat/>
    <w:rsid w:val="00D50228"/>
    <w:pPr>
      <w:keepNext/>
      <w:keepLines/>
      <w:spacing w:before="40" w:after="120" w:line="240" w:lineRule="auto"/>
      <w:ind w:firstLine="284"/>
      <w:outlineLvl w:val="1"/>
    </w:pPr>
    <w:rPr>
      <w:rFonts w:ascii="Minion Pro" w:eastAsia="MS Gothic" w:hAnsi="Minion Pro" w:cs="Times New Roman"/>
      <w:bCs/>
      <w:i/>
      <w:color w:val="92D050"/>
      <w:sz w:val="24"/>
      <w:szCs w:val="26"/>
      <w:lang w:eastAsia="fr-FR"/>
    </w:rPr>
  </w:style>
  <w:style w:type="character" w:customStyle="1" w:styleId="Titr3Car">
    <w:name w:val="Titr3 Car"/>
    <w:basedOn w:val="Policepardfaut"/>
    <w:link w:val="Titr3"/>
    <w:rsid w:val="00D50228"/>
    <w:rPr>
      <w:rFonts w:ascii="Minion Pro" w:eastAsia="MS Gothic" w:hAnsi="Minion Pro" w:cs="Times New Roman"/>
      <w:bCs/>
      <w:i/>
      <w:color w:val="92D050"/>
      <w:sz w:val="24"/>
      <w:szCs w:val="26"/>
      <w:lang w:eastAsia="fr-FR"/>
    </w:rPr>
  </w:style>
  <w:style w:type="paragraph" w:styleId="Paragraphedeliste">
    <w:name w:val="List Paragraph"/>
    <w:basedOn w:val="Normal"/>
    <w:uiPriority w:val="34"/>
    <w:qFormat/>
    <w:rsid w:val="004F56DD"/>
    <w:pPr>
      <w:ind w:left="720"/>
      <w:contextualSpacing/>
    </w:pPr>
  </w:style>
  <w:style w:type="paragraph" w:styleId="Textedebulles">
    <w:name w:val="Balloon Text"/>
    <w:basedOn w:val="Normal"/>
    <w:link w:val="TextedebullesCar"/>
    <w:uiPriority w:val="99"/>
    <w:semiHidden/>
    <w:unhideWhenUsed/>
    <w:rsid w:val="00CA45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1163</Words>
  <Characters>6401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Chassagne</dc:creator>
  <cp:keywords/>
  <dc:description/>
  <cp:lastModifiedBy>Lauriane</cp:lastModifiedBy>
  <cp:revision>23</cp:revision>
  <dcterms:created xsi:type="dcterms:W3CDTF">2019-01-11T10:21:00Z</dcterms:created>
  <dcterms:modified xsi:type="dcterms:W3CDTF">2019-11-08T16:57:00Z</dcterms:modified>
</cp:coreProperties>
</file>