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0330B" w14:textId="77777777" w:rsidR="009E326A" w:rsidRPr="00601BA8" w:rsidRDefault="00C76996" w:rsidP="007B18FF">
      <w:pPr>
        <w:pStyle w:val="Titre1"/>
        <w:rPr>
          <w:rFonts w:ascii="Poppins" w:hAnsi="Poppins" w:cs="Poppins"/>
          <w:color w:val="752864"/>
        </w:rPr>
      </w:pPr>
      <w:r w:rsidRPr="00601BA8">
        <w:rPr>
          <w:rFonts w:ascii="Poppins" w:hAnsi="Poppins" w:cs="Poppins"/>
          <w:color w:val="752864"/>
        </w:rPr>
        <w:t>Objet</w:t>
      </w:r>
    </w:p>
    <w:p w14:paraId="5A8336F0" w14:textId="77777777" w:rsidR="00E666D8" w:rsidRPr="00601BA8" w:rsidRDefault="000F00BB" w:rsidP="001B7A36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 xml:space="preserve">Cette procédure </w:t>
      </w:r>
      <w:r w:rsidR="0032087F" w:rsidRPr="00601BA8">
        <w:rPr>
          <w:rFonts w:ascii="Poppins" w:hAnsi="Poppins" w:cs="Poppins"/>
        </w:rPr>
        <w:t>détermine les règles de mise en œuvre du système d’audit qualité interne</w:t>
      </w:r>
      <w:r w:rsidRPr="00601BA8">
        <w:rPr>
          <w:rFonts w:ascii="Poppins" w:hAnsi="Poppins" w:cs="Poppins"/>
        </w:rPr>
        <w:t xml:space="preserve">. Elle </w:t>
      </w:r>
      <w:r w:rsidR="0032087F" w:rsidRPr="00601BA8">
        <w:rPr>
          <w:rFonts w:ascii="Poppins" w:hAnsi="Poppins" w:cs="Poppins"/>
        </w:rPr>
        <w:t>précise : la méthodologie d’audit, les règles relatives à la planification et au suivi des audits, les critères de qualification des auditeurs et les responsabilités associées aux activités d’audit.</w:t>
      </w:r>
    </w:p>
    <w:p w14:paraId="76DF7E75" w14:textId="77777777" w:rsidR="00C76996" w:rsidRPr="00601BA8" w:rsidRDefault="00C76996" w:rsidP="007C0048">
      <w:pPr>
        <w:pStyle w:val="Titre1"/>
        <w:rPr>
          <w:rFonts w:ascii="Poppins" w:hAnsi="Poppins" w:cs="Poppins"/>
          <w:color w:val="752864"/>
        </w:rPr>
      </w:pPr>
      <w:r w:rsidRPr="00601BA8">
        <w:rPr>
          <w:rFonts w:ascii="Poppins" w:hAnsi="Poppins" w:cs="Poppins"/>
          <w:color w:val="752864"/>
        </w:rPr>
        <w:t>Domaine d’application</w:t>
      </w:r>
    </w:p>
    <w:p w14:paraId="77035692" w14:textId="77777777" w:rsidR="000A7C99" w:rsidRPr="00601BA8" w:rsidRDefault="00C76996" w:rsidP="001B7A36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 xml:space="preserve"> </w:t>
      </w:r>
      <w:r w:rsidR="005A3713" w:rsidRPr="00601BA8">
        <w:rPr>
          <w:rFonts w:ascii="Poppins" w:hAnsi="Poppins" w:cs="Poppins"/>
        </w:rPr>
        <w:t xml:space="preserve">La procédure s’applique à l’ensemble des structures NEST pour la vérification de la conformité des dispositions par rapport à la norme ISO 9001, à la vérification de leur application et de leur efficacité. </w:t>
      </w:r>
    </w:p>
    <w:p w14:paraId="561D19D8" w14:textId="77777777" w:rsidR="009E326A" w:rsidRPr="00601BA8" w:rsidRDefault="00CB5C0F" w:rsidP="007C0048">
      <w:pPr>
        <w:pStyle w:val="Titre1"/>
        <w:rPr>
          <w:rFonts w:ascii="Poppins" w:hAnsi="Poppins" w:cs="Poppins"/>
          <w:color w:val="752864"/>
        </w:rPr>
      </w:pPr>
      <w:r w:rsidRPr="00601BA8">
        <w:rPr>
          <w:rFonts w:ascii="Poppins" w:hAnsi="Poppins" w:cs="Poppins"/>
          <w:color w:val="752864"/>
        </w:rPr>
        <w:t>Responsabilité</w:t>
      </w:r>
    </w:p>
    <w:p w14:paraId="35756895" w14:textId="73063966" w:rsidR="00EC1513" w:rsidRPr="00601BA8" w:rsidRDefault="00B148CD" w:rsidP="001B7A36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 xml:space="preserve">Le </w:t>
      </w:r>
      <w:r w:rsidR="00477144" w:rsidRPr="00601BA8">
        <w:rPr>
          <w:rFonts w:ascii="Poppins" w:hAnsi="Poppins" w:cs="Poppins"/>
        </w:rPr>
        <w:t>R</w:t>
      </w:r>
      <w:r w:rsidR="00613BF1" w:rsidRPr="00601BA8">
        <w:rPr>
          <w:rFonts w:ascii="Poppins" w:hAnsi="Poppins" w:cs="Poppins"/>
        </w:rPr>
        <w:t>Q</w:t>
      </w:r>
      <w:r w:rsidRPr="00601BA8">
        <w:rPr>
          <w:rFonts w:ascii="Poppins" w:hAnsi="Poppins" w:cs="Poppins"/>
        </w:rPr>
        <w:t xml:space="preserve"> </w:t>
      </w:r>
      <w:r w:rsidR="00CB5C0F" w:rsidRPr="00601BA8">
        <w:rPr>
          <w:rFonts w:ascii="Poppins" w:hAnsi="Poppins" w:cs="Poppins"/>
        </w:rPr>
        <w:t xml:space="preserve">est </w:t>
      </w:r>
      <w:r w:rsidR="009E326A" w:rsidRPr="00601BA8">
        <w:rPr>
          <w:rFonts w:ascii="Poppins" w:hAnsi="Poppins" w:cs="Poppins"/>
        </w:rPr>
        <w:t xml:space="preserve">chargé de </w:t>
      </w:r>
      <w:r w:rsidR="00CB5C0F" w:rsidRPr="00601BA8">
        <w:rPr>
          <w:rFonts w:ascii="Poppins" w:hAnsi="Poppins" w:cs="Poppins"/>
        </w:rPr>
        <w:t>l’application</w:t>
      </w:r>
      <w:r w:rsidR="009E326A" w:rsidRPr="00601BA8">
        <w:rPr>
          <w:rFonts w:ascii="Poppins" w:hAnsi="Poppins" w:cs="Poppins"/>
        </w:rPr>
        <w:t xml:space="preserve"> de </w:t>
      </w:r>
      <w:r w:rsidR="000F00BB" w:rsidRPr="00601BA8">
        <w:rPr>
          <w:rFonts w:ascii="Poppins" w:hAnsi="Poppins" w:cs="Poppins"/>
        </w:rPr>
        <w:t>cette procédure</w:t>
      </w:r>
      <w:r w:rsidR="00E91722" w:rsidRPr="00601BA8">
        <w:rPr>
          <w:rFonts w:ascii="Poppins" w:hAnsi="Poppins" w:cs="Poppins"/>
        </w:rPr>
        <w:t>.</w:t>
      </w:r>
    </w:p>
    <w:p w14:paraId="7439F24B" w14:textId="77777777" w:rsidR="0037264E" w:rsidRPr="00601BA8" w:rsidRDefault="0037264E" w:rsidP="0037264E">
      <w:pPr>
        <w:pStyle w:val="Titre1"/>
        <w:rPr>
          <w:rFonts w:ascii="Poppins" w:hAnsi="Poppins" w:cs="Poppins"/>
          <w:color w:val="752864"/>
        </w:rPr>
      </w:pPr>
      <w:r w:rsidRPr="00601BA8">
        <w:rPr>
          <w:rFonts w:ascii="Poppins" w:hAnsi="Poppins" w:cs="Poppins"/>
          <w:color w:val="752864"/>
        </w:rPr>
        <w:t>Annexes</w:t>
      </w:r>
    </w:p>
    <w:p w14:paraId="1D484F75" w14:textId="51CF0030" w:rsidR="00FC11E9" w:rsidRPr="00601BA8" w:rsidRDefault="00613BF1" w:rsidP="003D1FBA">
      <w:pPr>
        <w:pStyle w:val="Paragraphedeliste"/>
        <w:numPr>
          <w:ilvl w:val="0"/>
          <w:numId w:val="10"/>
        </w:numPr>
        <w:rPr>
          <w:rFonts w:ascii="Poppins" w:hAnsi="Poppins" w:cs="Poppins"/>
          <w:lang w:eastAsia="fr-FR"/>
        </w:rPr>
      </w:pPr>
      <w:proofErr w:type="spellStart"/>
      <w:r w:rsidRPr="00601BA8">
        <w:rPr>
          <w:rFonts w:ascii="Poppins" w:hAnsi="Poppins" w:cs="Poppins"/>
          <w:lang w:eastAsia="fr-FR"/>
        </w:rPr>
        <w:t>Qualipro</w:t>
      </w:r>
      <w:proofErr w:type="spellEnd"/>
    </w:p>
    <w:p w14:paraId="7A1CF6D8" w14:textId="77777777" w:rsidR="0037264E" w:rsidRPr="00601BA8" w:rsidRDefault="003D1FBA" w:rsidP="003D1FBA">
      <w:pPr>
        <w:pStyle w:val="Paragraphedeliste"/>
        <w:numPr>
          <w:ilvl w:val="0"/>
          <w:numId w:val="10"/>
        </w:numPr>
        <w:rPr>
          <w:rFonts w:ascii="Poppins" w:hAnsi="Poppins" w:cs="Poppins"/>
          <w:lang w:eastAsia="fr-FR"/>
        </w:rPr>
      </w:pPr>
      <w:r w:rsidRPr="00601BA8">
        <w:rPr>
          <w:rFonts w:ascii="Poppins" w:hAnsi="Poppins" w:cs="Poppins"/>
          <w:lang w:eastAsia="fr-FR"/>
        </w:rPr>
        <w:t>Fiche d’incident</w:t>
      </w:r>
    </w:p>
    <w:p w14:paraId="4436B747" w14:textId="157BBD0D" w:rsidR="00552D6A" w:rsidRPr="00601BA8" w:rsidRDefault="00FC11E9" w:rsidP="001B7A36">
      <w:pPr>
        <w:pStyle w:val="Paragraphedeliste"/>
        <w:numPr>
          <w:ilvl w:val="0"/>
          <w:numId w:val="10"/>
        </w:numPr>
        <w:rPr>
          <w:rFonts w:ascii="Poppins" w:hAnsi="Poppins" w:cs="Poppins"/>
          <w:lang w:eastAsia="fr-FR"/>
        </w:rPr>
      </w:pPr>
      <w:r w:rsidRPr="00601BA8">
        <w:rPr>
          <w:rFonts w:ascii="Poppins" w:hAnsi="Poppins" w:cs="Poppins"/>
          <w:lang w:eastAsia="fr-FR"/>
        </w:rPr>
        <w:t>Liste des auditeurs qualifiés</w:t>
      </w:r>
      <w:r w:rsidR="004F5F5B" w:rsidRPr="00601BA8">
        <w:rPr>
          <w:rFonts w:ascii="Poppins" w:hAnsi="Poppins" w:cs="Poppins"/>
          <w:lang w:eastAsia="fr-FR"/>
        </w:rPr>
        <w:t xml:space="preserve"> dans </w:t>
      </w:r>
      <w:proofErr w:type="spellStart"/>
      <w:r w:rsidR="004F5F5B" w:rsidRPr="00601BA8">
        <w:rPr>
          <w:rFonts w:ascii="Poppins" w:hAnsi="Poppins" w:cs="Poppins"/>
          <w:lang w:eastAsia="fr-FR"/>
        </w:rPr>
        <w:t>Qualipro</w:t>
      </w:r>
      <w:proofErr w:type="spellEnd"/>
    </w:p>
    <w:p w14:paraId="0221ED8C" w14:textId="77777777" w:rsidR="009E326A" w:rsidRPr="00601BA8" w:rsidRDefault="00D23A42" w:rsidP="00692DFA">
      <w:pPr>
        <w:pStyle w:val="Titre1"/>
        <w:rPr>
          <w:rFonts w:ascii="Poppins" w:hAnsi="Poppins" w:cs="Poppins"/>
          <w:color w:val="752864"/>
        </w:rPr>
      </w:pPr>
      <w:r w:rsidRPr="00601BA8">
        <w:rPr>
          <w:rFonts w:ascii="Poppins" w:hAnsi="Poppins" w:cs="Poppins"/>
          <w:color w:val="752864"/>
        </w:rPr>
        <w:t>Description d</w:t>
      </w:r>
      <w:r w:rsidR="001B7A36" w:rsidRPr="00601BA8">
        <w:rPr>
          <w:rFonts w:ascii="Poppins" w:hAnsi="Poppins" w:cs="Poppins"/>
          <w:color w:val="752864"/>
        </w:rPr>
        <w:t>e la procédure</w:t>
      </w:r>
    </w:p>
    <w:p w14:paraId="6AA2C3A9" w14:textId="77777777" w:rsidR="005D3DFC" w:rsidRPr="00601BA8" w:rsidRDefault="005D3DFC" w:rsidP="00B148CD">
      <w:pPr>
        <w:pStyle w:val="Titre2"/>
        <w:rPr>
          <w:rFonts w:ascii="Poppins" w:hAnsi="Poppins" w:cs="Poppins"/>
          <w:color w:val="752864"/>
        </w:rPr>
      </w:pPr>
      <w:r w:rsidRPr="00601BA8">
        <w:rPr>
          <w:rFonts w:ascii="Poppins" w:hAnsi="Poppins" w:cs="Poppins"/>
          <w:color w:val="752864"/>
        </w:rPr>
        <w:t>Responsabilités et qualification</w:t>
      </w:r>
    </w:p>
    <w:p w14:paraId="01392642" w14:textId="77777777" w:rsidR="005D3DFC" w:rsidRPr="00601BA8" w:rsidRDefault="005D3DFC" w:rsidP="00B148CD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>Seuls les auditeurs internes ayant reçu la formation nécessaire ont autorité pour conduire les audits du système qual</w:t>
      </w:r>
      <w:r w:rsidR="00B148CD" w:rsidRPr="00601BA8">
        <w:rPr>
          <w:rFonts w:ascii="Poppins" w:hAnsi="Poppins" w:cs="Poppins"/>
        </w:rPr>
        <w:t>i</w:t>
      </w:r>
      <w:r w:rsidRPr="00601BA8">
        <w:rPr>
          <w:rFonts w:ascii="Poppins" w:hAnsi="Poppins" w:cs="Poppins"/>
        </w:rPr>
        <w:t>té</w:t>
      </w:r>
      <w:r w:rsidR="00B148CD" w:rsidRPr="00601BA8">
        <w:rPr>
          <w:rFonts w:ascii="Poppins" w:hAnsi="Poppins" w:cs="Poppins"/>
        </w:rPr>
        <w:t xml:space="preserve"> </w:t>
      </w:r>
      <w:r w:rsidRPr="00601BA8">
        <w:rPr>
          <w:rFonts w:ascii="Poppins" w:hAnsi="Poppins" w:cs="Poppins"/>
        </w:rPr>
        <w:t xml:space="preserve">: </w:t>
      </w:r>
    </w:p>
    <w:p w14:paraId="087D5FC3" w14:textId="77777777" w:rsidR="00B148CD" w:rsidRPr="00601BA8" w:rsidRDefault="005D3DFC" w:rsidP="00B148CD">
      <w:pPr>
        <w:pStyle w:val="Paragraphedeliste"/>
        <w:numPr>
          <w:ilvl w:val="0"/>
          <w:numId w:val="7"/>
        </w:numPr>
        <w:rPr>
          <w:rFonts w:ascii="Poppins" w:hAnsi="Poppins" w:cs="Poppins"/>
        </w:rPr>
      </w:pPr>
      <w:r w:rsidRPr="00601BA8">
        <w:rPr>
          <w:rFonts w:ascii="Poppins" w:hAnsi="Poppins" w:cs="Poppins"/>
        </w:rPr>
        <w:t xml:space="preserve">Formation </w:t>
      </w:r>
      <w:r w:rsidR="00B148CD" w:rsidRPr="00601BA8">
        <w:rPr>
          <w:rFonts w:ascii="Poppins" w:hAnsi="Poppins" w:cs="Poppins"/>
        </w:rPr>
        <w:t>sur la méthodologie de l’audit</w:t>
      </w:r>
    </w:p>
    <w:p w14:paraId="4CCF6EA4" w14:textId="77777777" w:rsidR="005D3DFC" w:rsidRPr="00601BA8" w:rsidRDefault="005D3DFC" w:rsidP="00B148CD">
      <w:pPr>
        <w:pStyle w:val="Paragraphedeliste"/>
        <w:numPr>
          <w:ilvl w:val="0"/>
          <w:numId w:val="7"/>
        </w:numPr>
        <w:rPr>
          <w:rFonts w:ascii="Poppins" w:hAnsi="Poppins" w:cs="Poppins"/>
        </w:rPr>
      </w:pPr>
      <w:r w:rsidRPr="00601BA8">
        <w:rPr>
          <w:rFonts w:ascii="Poppins" w:hAnsi="Poppins" w:cs="Poppins"/>
        </w:rPr>
        <w:t>Accompagnement par un Auditeur Qualifié pour au moins un audit</w:t>
      </w:r>
    </w:p>
    <w:p w14:paraId="4CD474C3" w14:textId="5692935B" w:rsidR="005D3DFC" w:rsidRPr="00601BA8" w:rsidRDefault="005D3DFC" w:rsidP="00B148CD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 xml:space="preserve">Pour conserver leur qualification, les auditeurs internes doivent effectuer au moins </w:t>
      </w:r>
      <w:r w:rsidR="00021F0D">
        <w:rPr>
          <w:rFonts w:ascii="Poppins" w:hAnsi="Poppins" w:cs="Poppins"/>
        </w:rPr>
        <w:t>un audit</w:t>
      </w:r>
      <w:r w:rsidRPr="00601BA8">
        <w:rPr>
          <w:rFonts w:ascii="Poppins" w:hAnsi="Poppins" w:cs="Poppins"/>
        </w:rPr>
        <w:t xml:space="preserve"> par an.</w:t>
      </w:r>
    </w:p>
    <w:p w14:paraId="0D9043A5" w14:textId="2B01D6BC" w:rsidR="005D3DFC" w:rsidRPr="00601BA8" w:rsidRDefault="00B148CD" w:rsidP="00B148CD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>Les a</w:t>
      </w:r>
      <w:r w:rsidR="005D3DFC" w:rsidRPr="00601BA8">
        <w:rPr>
          <w:rFonts w:ascii="Poppins" w:hAnsi="Poppins" w:cs="Poppins"/>
        </w:rPr>
        <w:t xml:space="preserve">uditeurs internes sont indépendants des secteurs audités. En cas de constitution d’équipes, un Responsable d’audit est désigné par le </w:t>
      </w:r>
      <w:r w:rsidR="007773CC">
        <w:rPr>
          <w:rFonts w:ascii="Poppins" w:hAnsi="Poppins" w:cs="Poppins"/>
        </w:rPr>
        <w:t>Service</w:t>
      </w:r>
      <w:r w:rsidR="005D3DFC" w:rsidRPr="00601BA8">
        <w:rPr>
          <w:rFonts w:ascii="Poppins" w:hAnsi="Poppins" w:cs="Poppins"/>
        </w:rPr>
        <w:t xml:space="preserve"> Qualité.</w:t>
      </w:r>
    </w:p>
    <w:p w14:paraId="727FCC82" w14:textId="675C3769" w:rsidR="005D3DFC" w:rsidRPr="00601BA8" w:rsidRDefault="005D3DFC" w:rsidP="00B148CD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lastRenderedPageBreak/>
        <w:t>Les justificatifs de formation des auditeurs internes qualifiés sont disponibles au niveau d</w:t>
      </w:r>
      <w:r w:rsidR="00E266B6" w:rsidRPr="00601BA8">
        <w:rPr>
          <w:rFonts w:ascii="Poppins" w:hAnsi="Poppins" w:cs="Poppins"/>
        </w:rPr>
        <w:t>es ressources humaine</w:t>
      </w:r>
      <w:r w:rsidR="004F5F5B" w:rsidRPr="00601BA8">
        <w:rPr>
          <w:rFonts w:ascii="Poppins" w:hAnsi="Poppins" w:cs="Poppins"/>
        </w:rPr>
        <w:t xml:space="preserve">s : attestations de formation par un cabinet externe </w:t>
      </w:r>
      <w:proofErr w:type="spellStart"/>
      <w:r w:rsidR="004F5F5B" w:rsidRPr="00601BA8">
        <w:rPr>
          <w:rFonts w:ascii="Poppins" w:hAnsi="Poppins" w:cs="Poppins"/>
        </w:rPr>
        <w:t>Qualitec</w:t>
      </w:r>
      <w:proofErr w:type="spellEnd"/>
      <w:r w:rsidR="00FD17C1" w:rsidRPr="00601BA8">
        <w:rPr>
          <w:rFonts w:ascii="Poppins" w:hAnsi="Poppins" w:cs="Poppins"/>
        </w:rPr>
        <w:t>,</w:t>
      </w:r>
      <w:r w:rsidR="004F5F5B" w:rsidRPr="00601BA8">
        <w:rPr>
          <w:rFonts w:ascii="Poppins" w:hAnsi="Poppins" w:cs="Poppins"/>
        </w:rPr>
        <w:t xml:space="preserve"> fiches d’évaluation de formation interne</w:t>
      </w:r>
      <w:r w:rsidR="00FD17C1" w:rsidRPr="00601BA8">
        <w:rPr>
          <w:rFonts w:ascii="Poppins" w:hAnsi="Poppins" w:cs="Poppins"/>
        </w:rPr>
        <w:t xml:space="preserve"> ou CV prouvant les compétences.</w:t>
      </w:r>
    </w:p>
    <w:p w14:paraId="2BD58094" w14:textId="77777777" w:rsidR="005D3DFC" w:rsidRPr="00601BA8" w:rsidRDefault="005D3DFC" w:rsidP="005D3DFC">
      <w:pPr>
        <w:ind w:right="-1037"/>
        <w:rPr>
          <w:rFonts w:ascii="Poppins" w:hAnsi="Poppins" w:cs="Poppins"/>
        </w:rPr>
      </w:pPr>
    </w:p>
    <w:p w14:paraId="38B2703A" w14:textId="77777777" w:rsidR="005D3DFC" w:rsidRPr="00601BA8" w:rsidRDefault="005D3DFC" w:rsidP="00B148CD">
      <w:pPr>
        <w:pStyle w:val="Titre2"/>
        <w:rPr>
          <w:rFonts w:ascii="Poppins" w:hAnsi="Poppins" w:cs="Poppins"/>
          <w:color w:val="752864"/>
        </w:rPr>
      </w:pPr>
      <w:r w:rsidRPr="00601BA8">
        <w:rPr>
          <w:rFonts w:ascii="Poppins" w:hAnsi="Poppins" w:cs="Poppins"/>
          <w:color w:val="752864"/>
        </w:rPr>
        <w:t>Déclenchement de l’audit</w:t>
      </w:r>
    </w:p>
    <w:p w14:paraId="30883F55" w14:textId="77777777" w:rsidR="005D3DFC" w:rsidRPr="00601BA8" w:rsidRDefault="005D3DFC" w:rsidP="00B148CD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>Les audits sont déclenchés soit conformément au programme d’audit, soit à la demande d’un pilote de processus (suite au constat de non conformités, incident, réclamations clients ou parties intéressée</w:t>
      </w:r>
      <w:r w:rsidR="00B148CD" w:rsidRPr="00601BA8">
        <w:rPr>
          <w:rFonts w:ascii="Poppins" w:hAnsi="Poppins" w:cs="Poppins"/>
        </w:rPr>
        <w:t>, etc…).</w:t>
      </w:r>
    </w:p>
    <w:p w14:paraId="75F266AF" w14:textId="2385E44D" w:rsidR="005D3DFC" w:rsidRPr="00601BA8" w:rsidRDefault="005D3DFC" w:rsidP="0037264E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 xml:space="preserve">Le programme est élaboré annuellement par le </w:t>
      </w:r>
      <w:r w:rsidR="00021F0D">
        <w:rPr>
          <w:rFonts w:ascii="Poppins" w:hAnsi="Poppins" w:cs="Poppins"/>
        </w:rPr>
        <w:t>Service Qualité</w:t>
      </w:r>
      <w:r w:rsidRPr="00601BA8">
        <w:rPr>
          <w:rFonts w:ascii="Poppins" w:hAnsi="Poppins" w:cs="Poppins"/>
        </w:rPr>
        <w:t>, en collaboration avec les auditeurs internes et est diffusé</w:t>
      </w:r>
      <w:r w:rsidR="00D42616" w:rsidRPr="00601BA8">
        <w:rPr>
          <w:rFonts w:ascii="Poppins" w:hAnsi="Poppins" w:cs="Poppins"/>
        </w:rPr>
        <w:t xml:space="preserve"> via le logiciel </w:t>
      </w:r>
      <w:proofErr w:type="spellStart"/>
      <w:r w:rsidR="00D42616" w:rsidRPr="00601BA8">
        <w:rPr>
          <w:rFonts w:ascii="Poppins" w:hAnsi="Poppins" w:cs="Poppins"/>
        </w:rPr>
        <w:t>Qualipro</w:t>
      </w:r>
      <w:proofErr w:type="spellEnd"/>
      <w:r w:rsidR="00D42616" w:rsidRPr="00601BA8">
        <w:rPr>
          <w:rFonts w:ascii="Poppins" w:hAnsi="Poppins" w:cs="Poppins"/>
        </w:rPr>
        <w:t>.</w:t>
      </w:r>
    </w:p>
    <w:p w14:paraId="6F5A3A5D" w14:textId="77777777" w:rsidR="005D3DFC" w:rsidRPr="00601BA8" w:rsidRDefault="005D3DFC" w:rsidP="0037264E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>La planification tient compte des résultats de</w:t>
      </w:r>
      <w:r w:rsidR="0037264E" w:rsidRPr="00601BA8">
        <w:rPr>
          <w:rFonts w:ascii="Poppins" w:hAnsi="Poppins" w:cs="Poppins"/>
        </w:rPr>
        <w:t>s</w:t>
      </w:r>
      <w:r w:rsidRPr="00601BA8">
        <w:rPr>
          <w:rFonts w:ascii="Poppins" w:hAnsi="Poppins" w:cs="Poppins"/>
        </w:rPr>
        <w:t xml:space="preserve"> audits antérieur</w:t>
      </w:r>
      <w:r w:rsidR="0037264E" w:rsidRPr="00601BA8">
        <w:rPr>
          <w:rFonts w:ascii="Poppins" w:hAnsi="Poppins" w:cs="Poppins"/>
        </w:rPr>
        <w:t>s</w:t>
      </w:r>
      <w:r w:rsidRPr="00601BA8">
        <w:rPr>
          <w:rFonts w:ascii="Poppins" w:hAnsi="Poppins" w:cs="Poppins"/>
        </w:rPr>
        <w:t>, de l’importance et de l’état des processus, des modifications ayant une incidence sur l’organisation de l’entreprise et des risques non maîtrisés.</w:t>
      </w:r>
    </w:p>
    <w:p w14:paraId="737DE61D" w14:textId="3936208E" w:rsidR="005D3DFC" w:rsidRPr="00601BA8" w:rsidRDefault="005D3DFC" w:rsidP="002C233B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 xml:space="preserve">L’Auditeur </w:t>
      </w:r>
      <w:r w:rsidR="00D42616" w:rsidRPr="00601BA8">
        <w:rPr>
          <w:rFonts w:ascii="Poppins" w:hAnsi="Poppins" w:cs="Poppins"/>
        </w:rPr>
        <w:t xml:space="preserve">met à disposition le plan d’audit dans </w:t>
      </w:r>
      <w:proofErr w:type="spellStart"/>
      <w:r w:rsidR="00D42616" w:rsidRPr="00601BA8">
        <w:rPr>
          <w:rFonts w:ascii="Poppins" w:hAnsi="Poppins" w:cs="Poppins"/>
        </w:rPr>
        <w:t>Qualipro</w:t>
      </w:r>
      <w:proofErr w:type="spellEnd"/>
      <w:r w:rsidR="00D42616" w:rsidRPr="00601BA8">
        <w:rPr>
          <w:rFonts w:ascii="Poppins" w:hAnsi="Poppins" w:cs="Poppins"/>
        </w:rPr>
        <w:t xml:space="preserve"> au moins une semaine</w:t>
      </w:r>
      <w:r w:rsidR="00B92D20" w:rsidRPr="00601BA8">
        <w:rPr>
          <w:rFonts w:ascii="Poppins" w:hAnsi="Poppins" w:cs="Poppins"/>
        </w:rPr>
        <w:t xml:space="preserve"> </w:t>
      </w:r>
      <w:r w:rsidRPr="00601BA8">
        <w:rPr>
          <w:rFonts w:ascii="Poppins" w:hAnsi="Poppins" w:cs="Poppins"/>
        </w:rPr>
        <w:t>avant la d</w:t>
      </w:r>
      <w:r w:rsidR="00DD4617" w:rsidRPr="00601BA8">
        <w:rPr>
          <w:rFonts w:ascii="Poppins" w:hAnsi="Poppins" w:cs="Poppins"/>
        </w:rPr>
        <w:t>ate de l’audit</w:t>
      </w:r>
      <w:r w:rsidR="00EA6263" w:rsidRPr="00601BA8">
        <w:rPr>
          <w:rFonts w:ascii="Poppins" w:hAnsi="Poppins" w:cs="Poppins"/>
        </w:rPr>
        <w:t>. L’</w:t>
      </w:r>
      <w:r w:rsidRPr="00601BA8">
        <w:rPr>
          <w:rFonts w:ascii="Poppins" w:hAnsi="Poppins" w:cs="Poppins"/>
        </w:rPr>
        <w:t>ensemble des processus est audité au moins une fois par an.</w:t>
      </w:r>
    </w:p>
    <w:p w14:paraId="3FF1C8C4" w14:textId="77777777" w:rsidR="005D3DFC" w:rsidRPr="00601BA8" w:rsidRDefault="005D3DFC" w:rsidP="005D3DFC">
      <w:pPr>
        <w:ind w:right="-1037"/>
        <w:rPr>
          <w:rFonts w:ascii="Poppins" w:hAnsi="Poppins" w:cs="Poppins"/>
        </w:rPr>
      </w:pPr>
    </w:p>
    <w:p w14:paraId="39AFE623" w14:textId="77777777" w:rsidR="002C233B" w:rsidRPr="00601BA8" w:rsidRDefault="005D3DFC" w:rsidP="002C233B">
      <w:pPr>
        <w:pStyle w:val="Titre2"/>
        <w:rPr>
          <w:rFonts w:ascii="Poppins" w:hAnsi="Poppins" w:cs="Poppins"/>
          <w:color w:val="752864"/>
        </w:rPr>
      </w:pPr>
      <w:r w:rsidRPr="00601BA8">
        <w:rPr>
          <w:rFonts w:ascii="Poppins" w:hAnsi="Poppins" w:cs="Poppins"/>
          <w:color w:val="752864"/>
        </w:rPr>
        <w:t>Déroulement des audits</w:t>
      </w:r>
    </w:p>
    <w:p w14:paraId="2C1CABE0" w14:textId="77777777" w:rsidR="005D3DFC" w:rsidRPr="00601BA8" w:rsidRDefault="005D3DFC" w:rsidP="00CA5B0A">
      <w:pPr>
        <w:pStyle w:val="Titre3"/>
        <w:rPr>
          <w:rFonts w:ascii="Poppins" w:hAnsi="Poppins" w:cs="Poppins"/>
          <w:color w:val="EBBDA9"/>
        </w:rPr>
      </w:pPr>
      <w:r w:rsidRPr="00601BA8">
        <w:rPr>
          <w:rStyle w:val="Titre3Car"/>
          <w:rFonts w:ascii="Poppins" w:hAnsi="Poppins" w:cs="Poppins"/>
          <w:i/>
          <w:color w:val="EBBDA9"/>
          <w:sz w:val="22"/>
          <w:szCs w:val="22"/>
        </w:rPr>
        <w:t>Préparation de l’audit</w:t>
      </w:r>
    </w:p>
    <w:p w14:paraId="62FA7E13" w14:textId="77777777" w:rsidR="005D3DFC" w:rsidRPr="00601BA8" w:rsidRDefault="005D3DFC" w:rsidP="002C233B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 xml:space="preserve">Avant tout audit, l’Auditeur interne vérifie l’adéquation des informations documentées associées au processus : évolution du manuel, des procédures, des instructions, des enregistrements, </w:t>
      </w:r>
      <w:r w:rsidR="002C233B" w:rsidRPr="00601BA8">
        <w:rPr>
          <w:rFonts w:ascii="Poppins" w:hAnsi="Poppins" w:cs="Poppins"/>
        </w:rPr>
        <w:t xml:space="preserve">des </w:t>
      </w:r>
      <w:r w:rsidRPr="00601BA8">
        <w:rPr>
          <w:rFonts w:ascii="Poppins" w:hAnsi="Poppins" w:cs="Poppins"/>
        </w:rPr>
        <w:t>supports documentés.</w:t>
      </w:r>
    </w:p>
    <w:p w14:paraId="3EC3869A" w14:textId="48D9C2D3" w:rsidR="005D3DFC" w:rsidRPr="00601BA8" w:rsidRDefault="005D3DFC" w:rsidP="00132E8C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>Chaque audit est identifié suivant la numérotation suivante : N</w:t>
      </w:r>
      <w:r w:rsidR="0029479A" w:rsidRPr="00601BA8">
        <w:rPr>
          <w:rFonts w:ascii="Poppins" w:hAnsi="Poppins" w:cs="Poppins"/>
        </w:rPr>
        <w:t>uméro d’ordre-</w:t>
      </w:r>
      <w:r w:rsidR="00D90E89" w:rsidRPr="00601BA8">
        <w:rPr>
          <w:rFonts w:ascii="Poppins" w:hAnsi="Poppins" w:cs="Poppins"/>
        </w:rPr>
        <w:t>Année en cours</w:t>
      </w:r>
      <w:r w:rsidR="00132E8C" w:rsidRPr="00601BA8">
        <w:rPr>
          <w:rFonts w:ascii="Poppins" w:hAnsi="Poppins" w:cs="Poppins"/>
        </w:rPr>
        <w:t xml:space="preserve"> pour l’année 2018 et 2019, puis par </w:t>
      </w:r>
      <w:proofErr w:type="spellStart"/>
      <w:r w:rsidR="00132E8C" w:rsidRPr="00601BA8">
        <w:rPr>
          <w:rFonts w:ascii="Poppins" w:hAnsi="Poppins" w:cs="Poppins"/>
        </w:rPr>
        <w:t>Qualipro</w:t>
      </w:r>
      <w:proofErr w:type="spellEnd"/>
      <w:r w:rsidR="00132E8C" w:rsidRPr="00601BA8">
        <w:rPr>
          <w:rFonts w:ascii="Poppins" w:hAnsi="Poppins" w:cs="Poppins"/>
        </w:rPr>
        <w:t xml:space="preserve"> à partir de 2020.</w:t>
      </w:r>
    </w:p>
    <w:p w14:paraId="6A1725D3" w14:textId="32598EAA" w:rsidR="005D3DFC" w:rsidRPr="00601BA8" w:rsidRDefault="005D3DFC" w:rsidP="00DC662A">
      <w:pPr>
        <w:ind w:right="-142"/>
        <w:rPr>
          <w:rFonts w:ascii="Poppins" w:hAnsi="Poppins" w:cs="Poppins"/>
        </w:rPr>
      </w:pPr>
      <w:r w:rsidRPr="00601BA8">
        <w:rPr>
          <w:rFonts w:ascii="Poppins" w:hAnsi="Poppins" w:cs="Poppins"/>
        </w:rPr>
        <w:t xml:space="preserve">Le </w:t>
      </w:r>
      <w:r w:rsidR="00021F0D">
        <w:rPr>
          <w:rFonts w:ascii="Poppins" w:hAnsi="Poppins" w:cs="Poppins"/>
        </w:rPr>
        <w:t>Service</w:t>
      </w:r>
      <w:r w:rsidRPr="00601BA8">
        <w:rPr>
          <w:rFonts w:ascii="Poppins" w:hAnsi="Poppins" w:cs="Poppins"/>
        </w:rPr>
        <w:t xml:space="preserve"> Qualité est responsable de la numérotation et tient à jour l’état des audits effectués.</w:t>
      </w:r>
    </w:p>
    <w:p w14:paraId="1512FCFA" w14:textId="77777777" w:rsidR="005D3DFC" w:rsidRPr="00601BA8" w:rsidRDefault="005D3DFC" w:rsidP="00CE0CC5">
      <w:pPr>
        <w:pStyle w:val="Titre3"/>
        <w:rPr>
          <w:rFonts w:ascii="Poppins" w:hAnsi="Poppins" w:cs="Poppins"/>
          <w:color w:val="EBBDA9"/>
        </w:rPr>
      </w:pPr>
      <w:r w:rsidRPr="00601BA8">
        <w:rPr>
          <w:rFonts w:ascii="Poppins" w:hAnsi="Poppins" w:cs="Poppins"/>
          <w:color w:val="EBBDA9"/>
        </w:rPr>
        <w:t>Déroulement de l’audit</w:t>
      </w:r>
    </w:p>
    <w:p w14:paraId="147FB6D3" w14:textId="77777777" w:rsidR="005D3DFC" w:rsidRPr="00601BA8" w:rsidRDefault="005D3DFC" w:rsidP="00CE0CC5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>L’auditeur vérifie la conformité et l’efficacité des dispositions du système de management Qualité.</w:t>
      </w:r>
    </w:p>
    <w:p w14:paraId="02957261" w14:textId="77777777" w:rsidR="00CE0CC5" w:rsidRPr="00601BA8" w:rsidRDefault="005D3DFC" w:rsidP="00CE0CC5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 xml:space="preserve">Il </w:t>
      </w:r>
      <w:r w:rsidR="00CE0CC5" w:rsidRPr="00601BA8">
        <w:rPr>
          <w:rFonts w:ascii="Poppins" w:hAnsi="Poppins" w:cs="Poppins"/>
        </w:rPr>
        <w:t xml:space="preserve">s’assure de </w:t>
      </w:r>
      <w:r w:rsidRPr="00601BA8">
        <w:rPr>
          <w:rFonts w:ascii="Poppins" w:hAnsi="Poppins" w:cs="Poppins"/>
        </w:rPr>
        <w:t>:</w:t>
      </w:r>
    </w:p>
    <w:p w14:paraId="3A51AFC8" w14:textId="77777777" w:rsidR="00CE0CC5" w:rsidRPr="00601BA8" w:rsidRDefault="00CE0CC5" w:rsidP="00CE0CC5">
      <w:pPr>
        <w:pStyle w:val="Paragraphedeliste"/>
        <w:numPr>
          <w:ilvl w:val="0"/>
          <w:numId w:val="7"/>
        </w:numPr>
        <w:rPr>
          <w:rFonts w:ascii="Poppins" w:hAnsi="Poppins" w:cs="Poppins"/>
        </w:rPr>
      </w:pPr>
      <w:r w:rsidRPr="00601BA8">
        <w:rPr>
          <w:rFonts w:ascii="Poppins" w:hAnsi="Poppins" w:cs="Poppins"/>
        </w:rPr>
        <w:lastRenderedPageBreak/>
        <w:t>L</w:t>
      </w:r>
      <w:r w:rsidR="005D3DFC" w:rsidRPr="00601BA8">
        <w:rPr>
          <w:rFonts w:ascii="Poppins" w:hAnsi="Poppins" w:cs="Poppins"/>
        </w:rPr>
        <w:t>’existence et de la conformité des réponses par rapport aux exigences (ISO 9001, parties intéressées, exigences légales, réglementaires, ou autres)</w:t>
      </w:r>
      <w:r w:rsidRPr="00601BA8">
        <w:rPr>
          <w:rFonts w:ascii="Poppins" w:hAnsi="Poppins" w:cs="Poppins"/>
        </w:rPr>
        <w:t> ;</w:t>
      </w:r>
    </w:p>
    <w:p w14:paraId="6AD15C81" w14:textId="77777777" w:rsidR="00CE0CC5" w:rsidRPr="00601BA8" w:rsidRDefault="00CE0CC5" w:rsidP="00CE0CC5">
      <w:pPr>
        <w:pStyle w:val="Paragraphedeliste"/>
        <w:numPr>
          <w:ilvl w:val="0"/>
          <w:numId w:val="7"/>
        </w:numPr>
        <w:rPr>
          <w:rFonts w:ascii="Poppins" w:hAnsi="Poppins" w:cs="Poppins"/>
        </w:rPr>
      </w:pPr>
      <w:r w:rsidRPr="00601BA8">
        <w:rPr>
          <w:rFonts w:ascii="Poppins" w:hAnsi="Poppins" w:cs="Poppins"/>
        </w:rPr>
        <w:t>L</w:t>
      </w:r>
      <w:r w:rsidR="005D3DFC" w:rsidRPr="00601BA8">
        <w:rPr>
          <w:rFonts w:ascii="Poppins" w:hAnsi="Poppins" w:cs="Poppins"/>
        </w:rPr>
        <w:t>’application des dispositions telles que définies sur les documents de références (manuel, fiche processus, procédures, notes de service …)</w:t>
      </w:r>
      <w:r w:rsidRPr="00601BA8">
        <w:rPr>
          <w:rFonts w:ascii="Poppins" w:hAnsi="Poppins" w:cs="Poppins"/>
        </w:rPr>
        <w:t> ;</w:t>
      </w:r>
    </w:p>
    <w:p w14:paraId="7CD6B154" w14:textId="77777777" w:rsidR="00CE0CC5" w:rsidRPr="00601BA8" w:rsidRDefault="00CE0CC5" w:rsidP="00CE0CC5">
      <w:pPr>
        <w:pStyle w:val="Paragraphedeliste"/>
        <w:numPr>
          <w:ilvl w:val="0"/>
          <w:numId w:val="7"/>
        </w:numPr>
        <w:rPr>
          <w:rFonts w:ascii="Poppins" w:hAnsi="Poppins" w:cs="Poppins"/>
        </w:rPr>
      </w:pPr>
      <w:r w:rsidRPr="00601BA8">
        <w:rPr>
          <w:rFonts w:ascii="Poppins" w:hAnsi="Poppins" w:cs="Poppins"/>
        </w:rPr>
        <w:t>L</w:t>
      </w:r>
      <w:r w:rsidR="005D3DFC" w:rsidRPr="00601BA8">
        <w:rPr>
          <w:rFonts w:ascii="Poppins" w:hAnsi="Poppins" w:cs="Poppins"/>
        </w:rPr>
        <w:t xml:space="preserve">’efficacité de </w:t>
      </w:r>
      <w:r w:rsidRPr="00601BA8">
        <w:rPr>
          <w:rFonts w:ascii="Poppins" w:hAnsi="Poppins" w:cs="Poppins"/>
        </w:rPr>
        <w:t>celles-ci ;</w:t>
      </w:r>
    </w:p>
    <w:p w14:paraId="535DD615" w14:textId="77777777" w:rsidR="00CE0CC5" w:rsidRPr="00601BA8" w:rsidRDefault="00CE0CC5" w:rsidP="00CE0CC5">
      <w:pPr>
        <w:pStyle w:val="Paragraphedeliste"/>
        <w:numPr>
          <w:ilvl w:val="0"/>
          <w:numId w:val="7"/>
        </w:numPr>
        <w:rPr>
          <w:rFonts w:ascii="Poppins" w:hAnsi="Poppins" w:cs="Poppins"/>
        </w:rPr>
      </w:pPr>
      <w:r w:rsidRPr="00601BA8">
        <w:rPr>
          <w:rFonts w:ascii="Poppins" w:hAnsi="Poppins" w:cs="Poppins"/>
        </w:rPr>
        <w:t>L</w:t>
      </w:r>
      <w:r w:rsidR="005D3DFC" w:rsidRPr="00601BA8">
        <w:rPr>
          <w:rFonts w:ascii="Poppins" w:hAnsi="Poppins" w:cs="Poppins"/>
        </w:rPr>
        <w:t>a pertinence du</w:t>
      </w:r>
      <w:r w:rsidRPr="00601BA8">
        <w:rPr>
          <w:rFonts w:ascii="Poppins" w:hAnsi="Poppins" w:cs="Poppins"/>
        </w:rPr>
        <w:t xml:space="preserve"> niveau de maîtrise des risques ;</w:t>
      </w:r>
    </w:p>
    <w:p w14:paraId="33E6C81D" w14:textId="54E61DE3" w:rsidR="005D3DFC" w:rsidRPr="00DC662A" w:rsidRDefault="00CE0CC5" w:rsidP="00DC662A">
      <w:pPr>
        <w:pStyle w:val="Paragraphedeliste"/>
        <w:numPr>
          <w:ilvl w:val="0"/>
          <w:numId w:val="7"/>
        </w:numPr>
        <w:rPr>
          <w:rFonts w:ascii="Poppins" w:hAnsi="Poppins" w:cs="Poppins"/>
        </w:rPr>
      </w:pPr>
      <w:r w:rsidRPr="00601BA8">
        <w:rPr>
          <w:rFonts w:ascii="Poppins" w:hAnsi="Poppins" w:cs="Poppins"/>
        </w:rPr>
        <w:t>L</w:t>
      </w:r>
      <w:r w:rsidR="005D3DFC" w:rsidRPr="00601BA8">
        <w:rPr>
          <w:rFonts w:ascii="Poppins" w:hAnsi="Poppins" w:cs="Poppins"/>
        </w:rPr>
        <w:t>’entretien de la dynamique d’amélioration du processus</w:t>
      </w:r>
      <w:r w:rsidRPr="00601BA8">
        <w:rPr>
          <w:rFonts w:ascii="Poppins" w:hAnsi="Poppins" w:cs="Poppins"/>
        </w:rPr>
        <w:t>.</w:t>
      </w:r>
    </w:p>
    <w:p w14:paraId="3797D32F" w14:textId="77777777" w:rsidR="005D3DFC" w:rsidRPr="00601BA8" w:rsidRDefault="005D3DFC" w:rsidP="00050491">
      <w:pPr>
        <w:pStyle w:val="Titre3"/>
        <w:rPr>
          <w:rFonts w:ascii="Poppins" w:hAnsi="Poppins" w:cs="Poppins"/>
          <w:color w:val="EBBDA9"/>
        </w:rPr>
      </w:pPr>
      <w:r w:rsidRPr="00601BA8">
        <w:rPr>
          <w:rFonts w:ascii="Poppins" w:hAnsi="Poppins" w:cs="Poppins"/>
          <w:color w:val="EBBDA9"/>
        </w:rPr>
        <w:t>Compte rendu d’audit</w:t>
      </w:r>
    </w:p>
    <w:p w14:paraId="568D72F6" w14:textId="7BC882C2" w:rsidR="005D3DFC" w:rsidRPr="00601BA8" w:rsidRDefault="005D3DFC" w:rsidP="004A5D91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>En fin de phase d’investigation, l’Auditeur no</w:t>
      </w:r>
      <w:r w:rsidR="004A5D91" w:rsidRPr="00601BA8">
        <w:rPr>
          <w:rFonts w:ascii="Poppins" w:hAnsi="Poppins" w:cs="Poppins"/>
        </w:rPr>
        <w:t xml:space="preserve">te sur </w:t>
      </w:r>
      <w:r w:rsidR="006074D0" w:rsidRPr="00601BA8">
        <w:rPr>
          <w:rFonts w:ascii="Poppins" w:hAnsi="Poppins" w:cs="Poppins"/>
        </w:rPr>
        <w:t>le rapport</w:t>
      </w:r>
      <w:r w:rsidR="004A5D91" w:rsidRPr="00601BA8">
        <w:rPr>
          <w:rFonts w:ascii="Poppins" w:hAnsi="Poppins" w:cs="Poppins"/>
        </w:rPr>
        <w:t xml:space="preserve"> d’audit</w:t>
      </w:r>
      <w:r w:rsidR="00132E8C" w:rsidRPr="00601BA8">
        <w:rPr>
          <w:rFonts w:ascii="Poppins" w:hAnsi="Poppins" w:cs="Poppins"/>
        </w:rPr>
        <w:t xml:space="preserve"> sur </w:t>
      </w:r>
      <w:proofErr w:type="spellStart"/>
      <w:r w:rsidR="00132E8C" w:rsidRPr="00601BA8">
        <w:rPr>
          <w:rFonts w:ascii="Poppins" w:hAnsi="Poppins" w:cs="Poppins"/>
        </w:rPr>
        <w:t>Qualipro</w:t>
      </w:r>
      <w:proofErr w:type="spellEnd"/>
      <w:r w:rsidR="00132E8C" w:rsidRPr="00601BA8">
        <w:rPr>
          <w:rFonts w:ascii="Poppins" w:hAnsi="Poppins" w:cs="Poppins"/>
        </w:rPr>
        <w:t xml:space="preserve"> </w:t>
      </w:r>
      <w:r w:rsidRPr="00601BA8">
        <w:rPr>
          <w:rFonts w:ascii="Poppins" w:hAnsi="Poppins" w:cs="Poppins"/>
        </w:rPr>
        <w:t>la conclusion constituée de l’ensemble des constats.</w:t>
      </w:r>
    </w:p>
    <w:p w14:paraId="0B802CC0" w14:textId="2FCFCA72" w:rsidR="001E6FC8" w:rsidRPr="00601BA8" w:rsidRDefault="004A5D91" w:rsidP="004A5D91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>Chaque non-</w:t>
      </w:r>
      <w:r w:rsidR="005D3DFC" w:rsidRPr="00601BA8">
        <w:rPr>
          <w:rFonts w:ascii="Poppins" w:hAnsi="Poppins" w:cs="Poppins"/>
        </w:rPr>
        <w:t xml:space="preserve">conformité </w:t>
      </w:r>
      <w:r w:rsidR="00132E8C" w:rsidRPr="00601BA8">
        <w:rPr>
          <w:rFonts w:ascii="Poppins" w:hAnsi="Poppins" w:cs="Poppins"/>
        </w:rPr>
        <w:t xml:space="preserve">va automatiquement demander la mise en place d’une correction ou d’une action corrective dans </w:t>
      </w:r>
      <w:proofErr w:type="spellStart"/>
      <w:r w:rsidR="00132E8C" w:rsidRPr="00601BA8">
        <w:rPr>
          <w:rFonts w:ascii="Poppins" w:hAnsi="Poppins" w:cs="Poppins"/>
        </w:rPr>
        <w:t>Qualipro</w:t>
      </w:r>
      <w:proofErr w:type="spellEnd"/>
      <w:r w:rsidR="001E6FC8" w:rsidRPr="00601BA8">
        <w:rPr>
          <w:rFonts w:ascii="Poppins" w:hAnsi="Poppins" w:cs="Poppins"/>
        </w:rPr>
        <w:t>.</w:t>
      </w:r>
      <w:r w:rsidR="005D3DFC" w:rsidRPr="00601BA8">
        <w:rPr>
          <w:rFonts w:ascii="Poppins" w:hAnsi="Poppins" w:cs="Poppins"/>
        </w:rPr>
        <w:t xml:space="preserve"> </w:t>
      </w:r>
    </w:p>
    <w:p w14:paraId="1BD973A7" w14:textId="39977F88" w:rsidR="00FB58FF" w:rsidRPr="00601BA8" w:rsidRDefault="0053586E" w:rsidP="00DC662A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>Le rapport</w:t>
      </w:r>
      <w:r w:rsidR="005D3DFC" w:rsidRPr="00601BA8">
        <w:rPr>
          <w:rFonts w:ascii="Poppins" w:hAnsi="Poppins" w:cs="Poppins"/>
        </w:rPr>
        <w:t xml:space="preserve"> d’audit est </w:t>
      </w:r>
      <w:r w:rsidR="00A407E2" w:rsidRPr="00601BA8">
        <w:rPr>
          <w:rFonts w:ascii="Poppins" w:hAnsi="Poppins" w:cs="Poppins"/>
        </w:rPr>
        <w:t xml:space="preserve">rendu disponible dans </w:t>
      </w:r>
      <w:proofErr w:type="spellStart"/>
      <w:r w:rsidR="00A407E2" w:rsidRPr="00601BA8">
        <w:rPr>
          <w:rFonts w:ascii="Poppins" w:hAnsi="Poppins" w:cs="Poppins"/>
        </w:rPr>
        <w:t>Qualipro</w:t>
      </w:r>
      <w:proofErr w:type="spellEnd"/>
      <w:r w:rsidR="00A407E2" w:rsidRPr="00601BA8">
        <w:rPr>
          <w:rFonts w:ascii="Poppins" w:hAnsi="Poppins" w:cs="Poppins"/>
        </w:rPr>
        <w:t xml:space="preserve"> après validation du</w:t>
      </w:r>
      <w:r w:rsidR="005D3DFC" w:rsidRPr="00601BA8">
        <w:rPr>
          <w:rFonts w:ascii="Poppins" w:hAnsi="Poppins" w:cs="Poppins"/>
        </w:rPr>
        <w:t xml:space="preserve"> </w:t>
      </w:r>
      <w:proofErr w:type="spellStart"/>
      <w:r w:rsidR="00DC662A">
        <w:rPr>
          <w:rFonts w:ascii="Poppins" w:hAnsi="Poppins" w:cs="Poppins"/>
        </w:rPr>
        <w:t>Servic</w:t>
      </w:r>
      <w:proofErr w:type="spellEnd"/>
      <w:r w:rsidR="005D3DFC" w:rsidRPr="00601BA8">
        <w:rPr>
          <w:rFonts w:ascii="Poppins" w:hAnsi="Poppins" w:cs="Poppins"/>
        </w:rPr>
        <w:t xml:space="preserve"> Qualité pour diffusion au pilote de processus.</w:t>
      </w:r>
    </w:p>
    <w:p w14:paraId="003688DE" w14:textId="77777777" w:rsidR="005D3DFC" w:rsidRPr="00601BA8" w:rsidRDefault="007D3B6E" w:rsidP="007D3B6E">
      <w:pPr>
        <w:pStyle w:val="Titre3"/>
        <w:rPr>
          <w:rFonts w:ascii="Poppins" w:hAnsi="Poppins" w:cs="Poppins"/>
          <w:color w:val="EBBDA9"/>
        </w:rPr>
      </w:pPr>
      <w:r w:rsidRPr="00601BA8">
        <w:rPr>
          <w:rFonts w:ascii="Poppins" w:hAnsi="Poppins" w:cs="Poppins"/>
          <w:color w:val="EBBDA9"/>
        </w:rPr>
        <w:t>S</w:t>
      </w:r>
      <w:r w:rsidR="005D3DFC" w:rsidRPr="00601BA8">
        <w:rPr>
          <w:rFonts w:ascii="Poppins" w:hAnsi="Poppins" w:cs="Poppins"/>
          <w:color w:val="EBBDA9"/>
        </w:rPr>
        <w:t>uivi de l’audit</w:t>
      </w:r>
    </w:p>
    <w:p w14:paraId="472D4CCB" w14:textId="77777777" w:rsidR="005D3DFC" w:rsidRPr="00601BA8" w:rsidRDefault="007D3B6E" w:rsidP="007D3B6E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>En cas de non-</w:t>
      </w:r>
      <w:r w:rsidR="005D3DFC" w:rsidRPr="00601BA8">
        <w:rPr>
          <w:rFonts w:ascii="Poppins" w:hAnsi="Poppins" w:cs="Poppins"/>
        </w:rPr>
        <w:t xml:space="preserve">conformité constatée, </w:t>
      </w:r>
      <w:r w:rsidRPr="00601BA8">
        <w:rPr>
          <w:rFonts w:ascii="Poppins" w:hAnsi="Poppins" w:cs="Poppins"/>
        </w:rPr>
        <w:t xml:space="preserve">le pilote </w:t>
      </w:r>
      <w:r w:rsidR="005D3DFC" w:rsidRPr="00601BA8">
        <w:rPr>
          <w:rFonts w:ascii="Poppins" w:hAnsi="Poppins" w:cs="Poppins"/>
        </w:rPr>
        <w:t xml:space="preserve">effectue une analyse des causes, définit l’action corrective à mettre en œuvre, l’échéance et les responsabilités. </w:t>
      </w:r>
    </w:p>
    <w:p w14:paraId="2FE7DEAA" w14:textId="5EEB1535" w:rsidR="005D3DFC" w:rsidRPr="00601BA8" w:rsidRDefault="005D3DFC" w:rsidP="007D3B6E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 xml:space="preserve">Le </w:t>
      </w:r>
      <w:r w:rsidR="007773CC">
        <w:rPr>
          <w:rFonts w:ascii="Poppins" w:hAnsi="Poppins" w:cs="Poppins"/>
        </w:rPr>
        <w:t>Service</w:t>
      </w:r>
      <w:r w:rsidRPr="00601BA8">
        <w:rPr>
          <w:rFonts w:ascii="Poppins" w:hAnsi="Poppins" w:cs="Poppins"/>
        </w:rPr>
        <w:t xml:space="preserve"> Qualité s’assure de la mise en œuvre effective de l’action corrective et de son efficacité avant de la solder.</w:t>
      </w:r>
    </w:p>
    <w:p w14:paraId="6D55FC97" w14:textId="72D333EC" w:rsidR="005D3DFC" w:rsidRPr="00601BA8" w:rsidRDefault="005D3DFC" w:rsidP="007D3B6E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>Un audit n’est clôturé qu’après solde de l’ensemble des écarts relevés</w:t>
      </w:r>
      <w:r w:rsidR="00A407E2" w:rsidRPr="00601BA8">
        <w:rPr>
          <w:rFonts w:ascii="Poppins" w:hAnsi="Poppins" w:cs="Poppins"/>
        </w:rPr>
        <w:t xml:space="preserve"> et un taux d’efficacité d’au moins 70%</w:t>
      </w:r>
      <w:r w:rsidRPr="00601BA8">
        <w:rPr>
          <w:rFonts w:ascii="Poppins" w:hAnsi="Poppins" w:cs="Poppins"/>
        </w:rPr>
        <w:t>.</w:t>
      </w:r>
    </w:p>
    <w:p w14:paraId="16C82F15" w14:textId="77777777" w:rsidR="002F6F27" w:rsidRPr="00601BA8" w:rsidRDefault="005D3DFC" w:rsidP="00BD74F6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>Les résultats des audits internes sont soumis à la Revue de Direction annuelle.</w:t>
      </w:r>
    </w:p>
    <w:sectPr w:rsidR="002F6F27" w:rsidRPr="00601BA8" w:rsidSect="00E339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8E871" w14:textId="77777777" w:rsidR="00E339DE" w:rsidRDefault="00E339DE" w:rsidP="00B069CF">
      <w:r>
        <w:separator/>
      </w:r>
    </w:p>
    <w:p w14:paraId="3099FB16" w14:textId="77777777" w:rsidR="00E339DE" w:rsidRDefault="00E339DE" w:rsidP="00B069CF"/>
    <w:p w14:paraId="1E425223" w14:textId="77777777" w:rsidR="00E339DE" w:rsidRDefault="00E339DE" w:rsidP="00B069CF"/>
    <w:p w14:paraId="7155C5B4" w14:textId="77777777" w:rsidR="00E339DE" w:rsidRDefault="00E339DE" w:rsidP="00B069CF"/>
  </w:endnote>
  <w:endnote w:type="continuationSeparator" w:id="0">
    <w:p w14:paraId="30930489" w14:textId="77777777" w:rsidR="00E339DE" w:rsidRDefault="00E339DE" w:rsidP="00B069CF">
      <w:r>
        <w:continuationSeparator/>
      </w:r>
    </w:p>
    <w:p w14:paraId="1321DA2F" w14:textId="77777777" w:rsidR="00E339DE" w:rsidRDefault="00E339DE" w:rsidP="00B069CF"/>
    <w:p w14:paraId="14BC0276" w14:textId="77777777" w:rsidR="00E339DE" w:rsidRDefault="00E339DE" w:rsidP="00B069CF"/>
    <w:p w14:paraId="0BB723FD" w14:textId="77777777" w:rsidR="00E339DE" w:rsidRDefault="00E339DE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887D1" w14:textId="77777777" w:rsidR="00E339DE" w:rsidRDefault="00E339DE" w:rsidP="00B069CF">
      <w:bookmarkStart w:id="0" w:name="_Hlk480555709"/>
      <w:bookmarkEnd w:id="0"/>
      <w:r>
        <w:separator/>
      </w:r>
    </w:p>
    <w:p w14:paraId="0A1F2BC1" w14:textId="77777777" w:rsidR="00E339DE" w:rsidRDefault="00E339DE" w:rsidP="00B069CF"/>
    <w:p w14:paraId="68DE41E2" w14:textId="77777777" w:rsidR="00E339DE" w:rsidRDefault="00E339DE" w:rsidP="00B069CF"/>
    <w:p w14:paraId="319272D7" w14:textId="77777777" w:rsidR="00E339DE" w:rsidRDefault="00E339DE" w:rsidP="00B069CF"/>
  </w:footnote>
  <w:footnote w:type="continuationSeparator" w:id="0">
    <w:p w14:paraId="3EFD3579" w14:textId="77777777" w:rsidR="00E339DE" w:rsidRDefault="00E339DE" w:rsidP="00B069CF">
      <w:r>
        <w:continuationSeparator/>
      </w:r>
    </w:p>
    <w:p w14:paraId="12F92D37" w14:textId="77777777" w:rsidR="00E339DE" w:rsidRDefault="00E339DE" w:rsidP="00B069CF"/>
    <w:p w14:paraId="7C484AAD" w14:textId="77777777" w:rsidR="00E339DE" w:rsidRDefault="00E339DE" w:rsidP="00B069CF"/>
    <w:p w14:paraId="7C65DBC9" w14:textId="77777777" w:rsidR="00E339DE" w:rsidRDefault="00E339DE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4-Accentuation2"/>
      <w:tblW w:w="9207" w:type="dxa"/>
      <w:tblLook w:val="0600" w:firstRow="0" w:lastRow="0" w:firstColumn="0" w:lastColumn="0" w:noHBand="1" w:noVBand="1"/>
    </w:tblPr>
    <w:tblGrid>
      <w:gridCol w:w="2390"/>
      <w:gridCol w:w="4409"/>
      <w:gridCol w:w="2408"/>
    </w:tblGrid>
    <w:tr w:rsidR="0087048A" w:rsidRPr="00601BA8" w14:paraId="22A24995" w14:textId="77777777" w:rsidTr="009111C2">
      <w:tc>
        <w:tcPr>
          <w:tcW w:w="2390" w:type="dxa"/>
        </w:tcPr>
        <w:p w14:paraId="67448D4F" w14:textId="35066530" w:rsidR="0087048A" w:rsidRPr="00601BA8" w:rsidRDefault="00601BA8" w:rsidP="00601BA8">
          <w:pPr>
            <w:pStyle w:val="Pieddepage"/>
            <w:tabs>
              <w:tab w:val="left" w:pos="1470"/>
            </w:tabs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>
            <w:rPr>
              <w:rFonts w:ascii="Poppins" w:hAnsi="Poppins"/>
              <w:noProof/>
              <w:sz w:val="16"/>
              <w:szCs w:val="16"/>
              <w:lang w:eastAsia="fr-FR"/>
            </w:rPr>
            <w:drawing>
              <wp:inline distT="0" distB="0" distL="0" distR="0" wp14:anchorId="052751C0" wp14:editId="1126EAD1">
                <wp:extent cx="1171575" cy="790575"/>
                <wp:effectExtent l="0" t="0" r="9525" b="9525"/>
                <wp:docPr id="233814288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4BEE0C61" w14:textId="77777777" w:rsidR="0087048A" w:rsidRPr="009111C2" w:rsidRDefault="00DD4617" w:rsidP="009111C2">
          <w:pPr>
            <w:pStyle w:val="Titre2"/>
            <w:jc w:val="center"/>
            <w:rPr>
              <w:rFonts w:ascii="Poppins" w:hAnsi="Poppins" w:cs="Poppins"/>
              <w:b/>
              <w:color w:val="752864" w:themeColor="accent1"/>
            </w:rPr>
          </w:pPr>
          <w:r w:rsidRPr="009111C2">
            <w:rPr>
              <w:rFonts w:ascii="Poppins" w:hAnsi="Poppins" w:cs="Poppins"/>
              <w:color w:val="752864" w:themeColor="accent1"/>
            </w:rPr>
            <w:t>Procédure</w:t>
          </w:r>
        </w:p>
        <w:p w14:paraId="065DC8AC" w14:textId="77777777" w:rsidR="00130623" w:rsidRPr="00601BA8" w:rsidRDefault="00E72453" w:rsidP="009111C2">
          <w:pPr>
            <w:pStyle w:val="Titre2"/>
            <w:jc w:val="center"/>
            <w:rPr>
              <w:rFonts w:ascii="Poppins" w:hAnsi="Poppins" w:cs="Poppins"/>
            </w:rPr>
          </w:pPr>
          <w:r w:rsidRPr="009111C2">
            <w:rPr>
              <w:rFonts w:ascii="Poppins" w:hAnsi="Poppins" w:cs="Poppins"/>
              <w:color w:val="752864" w:themeColor="accent1"/>
            </w:rPr>
            <w:t>Audit interne</w:t>
          </w:r>
        </w:p>
      </w:tc>
      <w:tc>
        <w:tcPr>
          <w:tcW w:w="2408" w:type="dxa"/>
          <w:vAlign w:val="center"/>
        </w:tcPr>
        <w:p w14:paraId="56E82362" w14:textId="77777777" w:rsidR="00F84165" w:rsidRPr="00601BA8" w:rsidRDefault="00F84165" w:rsidP="009111C2">
          <w:pPr>
            <w:pStyle w:val="En-tte"/>
            <w:ind w:firstLine="0"/>
            <w:jc w:val="center"/>
            <w:rPr>
              <w:rFonts w:ascii="Poppins" w:hAnsi="Poppins" w:cs="Poppins"/>
            </w:rPr>
          </w:pPr>
          <w:r w:rsidRPr="00601BA8">
            <w:rPr>
              <w:rFonts w:ascii="Poppins" w:hAnsi="Poppins" w:cs="Poppins"/>
            </w:rPr>
            <w:t xml:space="preserve">Page : </w:t>
          </w:r>
          <w:r w:rsidRPr="00601BA8">
            <w:rPr>
              <w:rFonts w:ascii="Poppins" w:hAnsi="Poppins" w:cs="Poppins"/>
            </w:rPr>
            <w:fldChar w:fldCharType="begin"/>
          </w:r>
          <w:r w:rsidRPr="00601BA8">
            <w:rPr>
              <w:rFonts w:ascii="Poppins" w:hAnsi="Poppins" w:cs="Poppins"/>
            </w:rPr>
            <w:instrText>PAGE   \* MERGEFORMAT</w:instrText>
          </w:r>
          <w:r w:rsidRPr="00601BA8">
            <w:rPr>
              <w:rFonts w:ascii="Poppins" w:hAnsi="Poppins" w:cs="Poppins"/>
            </w:rPr>
            <w:fldChar w:fldCharType="separate"/>
          </w:r>
          <w:r w:rsidR="00D62A5A" w:rsidRPr="00601BA8">
            <w:rPr>
              <w:rFonts w:ascii="Poppins" w:hAnsi="Poppins" w:cs="Poppins"/>
              <w:noProof/>
            </w:rPr>
            <w:t>4</w:t>
          </w:r>
          <w:r w:rsidRPr="00601BA8">
            <w:rPr>
              <w:rFonts w:ascii="Poppins" w:hAnsi="Poppins" w:cs="Poppins"/>
            </w:rPr>
            <w:fldChar w:fldCharType="end"/>
          </w:r>
        </w:p>
      </w:tc>
    </w:tr>
  </w:tbl>
  <w:p w14:paraId="46EDB0F2" w14:textId="77777777" w:rsidR="00412A4D" w:rsidRPr="009111C2" w:rsidRDefault="00412A4D" w:rsidP="007C0048">
    <w:pPr>
      <w:ind w:firstLine="0"/>
      <w:rPr>
        <w:rFonts w:ascii="Poppins" w:hAnsi="Poppins" w:cs="Poppin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5B4B198C"/>
    <w:multiLevelType w:val="hybridMultilevel"/>
    <w:tmpl w:val="2BE8CD4A"/>
    <w:lvl w:ilvl="0" w:tplc="455663B2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075DE"/>
    <w:multiLevelType w:val="hybridMultilevel"/>
    <w:tmpl w:val="A5C27B9A"/>
    <w:lvl w:ilvl="0" w:tplc="7F9E49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03B1D"/>
    <w:multiLevelType w:val="hybridMultilevel"/>
    <w:tmpl w:val="21307F5A"/>
    <w:lvl w:ilvl="0" w:tplc="455663B2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EC11565"/>
    <w:multiLevelType w:val="hybridMultilevel"/>
    <w:tmpl w:val="CE38D890"/>
    <w:lvl w:ilvl="0" w:tplc="455663B2">
      <w:numFmt w:val="bullet"/>
      <w:lvlText w:val="-"/>
      <w:lvlJc w:val="left"/>
      <w:pPr>
        <w:ind w:left="928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2890590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6401057">
    <w:abstractNumId w:val="7"/>
  </w:num>
  <w:num w:numId="3" w16cid:durableId="1811435346">
    <w:abstractNumId w:val="5"/>
  </w:num>
  <w:num w:numId="4" w16cid:durableId="1472096795">
    <w:abstractNumId w:val="2"/>
  </w:num>
  <w:num w:numId="5" w16cid:durableId="683942621">
    <w:abstractNumId w:val="4"/>
  </w:num>
  <w:num w:numId="6" w16cid:durableId="2116292305">
    <w:abstractNumId w:val="8"/>
  </w:num>
  <w:num w:numId="7" w16cid:durableId="734089941">
    <w:abstractNumId w:val="9"/>
  </w:num>
  <w:num w:numId="8" w16cid:durableId="303704560">
    <w:abstractNumId w:val="3"/>
  </w:num>
  <w:num w:numId="9" w16cid:durableId="2100448302">
    <w:abstractNumId w:val="10"/>
  </w:num>
  <w:num w:numId="10" w16cid:durableId="118189472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1F0D"/>
    <w:rsid w:val="0002379C"/>
    <w:rsid w:val="000239B6"/>
    <w:rsid w:val="00035C55"/>
    <w:rsid w:val="00040C50"/>
    <w:rsid w:val="000458B9"/>
    <w:rsid w:val="00050491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00B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2E8C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B7A36"/>
    <w:rsid w:val="001C47BE"/>
    <w:rsid w:val="001C4FE5"/>
    <w:rsid w:val="001C5B34"/>
    <w:rsid w:val="001D3A82"/>
    <w:rsid w:val="001E004C"/>
    <w:rsid w:val="001E2EF9"/>
    <w:rsid w:val="001E48B2"/>
    <w:rsid w:val="001E63FC"/>
    <w:rsid w:val="001E6FC8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23A5"/>
    <w:rsid w:val="002441FB"/>
    <w:rsid w:val="00244C88"/>
    <w:rsid w:val="00247700"/>
    <w:rsid w:val="002524F3"/>
    <w:rsid w:val="002566E7"/>
    <w:rsid w:val="00261537"/>
    <w:rsid w:val="00261961"/>
    <w:rsid w:val="002639BE"/>
    <w:rsid w:val="00264D7B"/>
    <w:rsid w:val="00271B11"/>
    <w:rsid w:val="00282DCC"/>
    <w:rsid w:val="00287971"/>
    <w:rsid w:val="0029479A"/>
    <w:rsid w:val="00294F10"/>
    <w:rsid w:val="00296BAA"/>
    <w:rsid w:val="002A34C5"/>
    <w:rsid w:val="002A5D28"/>
    <w:rsid w:val="002A751B"/>
    <w:rsid w:val="002B0488"/>
    <w:rsid w:val="002B6D34"/>
    <w:rsid w:val="002B73B7"/>
    <w:rsid w:val="002C233B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0A2F"/>
    <w:rsid w:val="0031370B"/>
    <w:rsid w:val="00314120"/>
    <w:rsid w:val="00315E56"/>
    <w:rsid w:val="00317BEA"/>
    <w:rsid w:val="0032087F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264E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1FBA"/>
    <w:rsid w:val="003D235C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7144"/>
    <w:rsid w:val="00482717"/>
    <w:rsid w:val="004828D3"/>
    <w:rsid w:val="004A0194"/>
    <w:rsid w:val="004A2587"/>
    <w:rsid w:val="004A5D91"/>
    <w:rsid w:val="004B12FD"/>
    <w:rsid w:val="004B496E"/>
    <w:rsid w:val="004C0366"/>
    <w:rsid w:val="004C73C7"/>
    <w:rsid w:val="004C78BC"/>
    <w:rsid w:val="004E3069"/>
    <w:rsid w:val="004E7021"/>
    <w:rsid w:val="004F1222"/>
    <w:rsid w:val="004F5F5B"/>
    <w:rsid w:val="004F725D"/>
    <w:rsid w:val="005034F8"/>
    <w:rsid w:val="0051083D"/>
    <w:rsid w:val="00510E43"/>
    <w:rsid w:val="005138BA"/>
    <w:rsid w:val="0052050C"/>
    <w:rsid w:val="005206C8"/>
    <w:rsid w:val="005230FA"/>
    <w:rsid w:val="0052578B"/>
    <w:rsid w:val="0053586E"/>
    <w:rsid w:val="00536799"/>
    <w:rsid w:val="00537679"/>
    <w:rsid w:val="0054046A"/>
    <w:rsid w:val="00540E03"/>
    <w:rsid w:val="00542307"/>
    <w:rsid w:val="00552D6A"/>
    <w:rsid w:val="0055311E"/>
    <w:rsid w:val="00560082"/>
    <w:rsid w:val="0056200E"/>
    <w:rsid w:val="00563F02"/>
    <w:rsid w:val="00572BF7"/>
    <w:rsid w:val="00573061"/>
    <w:rsid w:val="005733AC"/>
    <w:rsid w:val="0058584B"/>
    <w:rsid w:val="00590686"/>
    <w:rsid w:val="00590EBC"/>
    <w:rsid w:val="005A3713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3DFC"/>
    <w:rsid w:val="005D51BC"/>
    <w:rsid w:val="005D7036"/>
    <w:rsid w:val="005E375C"/>
    <w:rsid w:val="005F105E"/>
    <w:rsid w:val="005F1179"/>
    <w:rsid w:val="005F1D2C"/>
    <w:rsid w:val="005F2EC5"/>
    <w:rsid w:val="005F4AA4"/>
    <w:rsid w:val="005F76D4"/>
    <w:rsid w:val="00600714"/>
    <w:rsid w:val="00601BA8"/>
    <w:rsid w:val="00602629"/>
    <w:rsid w:val="00603069"/>
    <w:rsid w:val="006074D0"/>
    <w:rsid w:val="00610F43"/>
    <w:rsid w:val="006112E9"/>
    <w:rsid w:val="00611EEB"/>
    <w:rsid w:val="00613BF1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773CC"/>
    <w:rsid w:val="00780035"/>
    <w:rsid w:val="007925A3"/>
    <w:rsid w:val="007944E3"/>
    <w:rsid w:val="00795530"/>
    <w:rsid w:val="007974D5"/>
    <w:rsid w:val="0079767F"/>
    <w:rsid w:val="007A613E"/>
    <w:rsid w:val="007A6A07"/>
    <w:rsid w:val="007B18FF"/>
    <w:rsid w:val="007B1CAB"/>
    <w:rsid w:val="007B41A4"/>
    <w:rsid w:val="007C0048"/>
    <w:rsid w:val="007D3B6E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11C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97B48"/>
    <w:rsid w:val="009A1376"/>
    <w:rsid w:val="009A15FE"/>
    <w:rsid w:val="009A5C21"/>
    <w:rsid w:val="009B1A08"/>
    <w:rsid w:val="009B1AA1"/>
    <w:rsid w:val="009C3117"/>
    <w:rsid w:val="009C651B"/>
    <w:rsid w:val="009C76EF"/>
    <w:rsid w:val="009D064E"/>
    <w:rsid w:val="009D6294"/>
    <w:rsid w:val="009E24B7"/>
    <w:rsid w:val="009E326A"/>
    <w:rsid w:val="009E3578"/>
    <w:rsid w:val="009F3323"/>
    <w:rsid w:val="009F405F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07E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48CD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0237"/>
    <w:rsid w:val="00B62CB2"/>
    <w:rsid w:val="00B65661"/>
    <w:rsid w:val="00B75E6F"/>
    <w:rsid w:val="00B77564"/>
    <w:rsid w:val="00B8618A"/>
    <w:rsid w:val="00B912B0"/>
    <w:rsid w:val="00B91ACF"/>
    <w:rsid w:val="00B92565"/>
    <w:rsid w:val="00B92D20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4F6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A1C8E"/>
    <w:rsid w:val="00CA5B0A"/>
    <w:rsid w:val="00CB1EA3"/>
    <w:rsid w:val="00CB5C0F"/>
    <w:rsid w:val="00CB65D7"/>
    <w:rsid w:val="00CC0C13"/>
    <w:rsid w:val="00CC171A"/>
    <w:rsid w:val="00CD39CE"/>
    <w:rsid w:val="00CD3D4B"/>
    <w:rsid w:val="00CD6627"/>
    <w:rsid w:val="00CE0CC5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1766"/>
    <w:rsid w:val="00D3368D"/>
    <w:rsid w:val="00D3787F"/>
    <w:rsid w:val="00D42616"/>
    <w:rsid w:val="00D5268D"/>
    <w:rsid w:val="00D526AE"/>
    <w:rsid w:val="00D52E37"/>
    <w:rsid w:val="00D602C1"/>
    <w:rsid w:val="00D6150C"/>
    <w:rsid w:val="00D62A5A"/>
    <w:rsid w:val="00D847D7"/>
    <w:rsid w:val="00D90E89"/>
    <w:rsid w:val="00D9364D"/>
    <w:rsid w:val="00D964DA"/>
    <w:rsid w:val="00D972CF"/>
    <w:rsid w:val="00DA2701"/>
    <w:rsid w:val="00DB10F0"/>
    <w:rsid w:val="00DB71F7"/>
    <w:rsid w:val="00DC0F09"/>
    <w:rsid w:val="00DC2435"/>
    <w:rsid w:val="00DC28B7"/>
    <w:rsid w:val="00DC503A"/>
    <w:rsid w:val="00DC61AB"/>
    <w:rsid w:val="00DC662A"/>
    <w:rsid w:val="00DD051D"/>
    <w:rsid w:val="00DD0FC8"/>
    <w:rsid w:val="00DD1346"/>
    <w:rsid w:val="00DD293A"/>
    <w:rsid w:val="00DD4617"/>
    <w:rsid w:val="00DD725E"/>
    <w:rsid w:val="00DE1F3F"/>
    <w:rsid w:val="00DE5D79"/>
    <w:rsid w:val="00DF79E1"/>
    <w:rsid w:val="00E14BAB"/>
    <w:rsid w:val="00E24863"/>
    <w:rsid w:val="00E24CF1"/>
    <w:rsid w:val="00E26094"/>
    <w:rsid w:val="00E266B6"/>
    <w:rsid w:val="00E315AE"/>
    <w:rsid w:val="00E339DE"/>
    <w:rsid w:val="00E401F1"/>
    <w:rsid w:val="00E424D4"/>
    <w:rsid w:val="00E51C39"/>
    <w:rsid w:val="00E562B0"/>
    <w:rsid w:val="00E609AB"/>
    <w:rsid w:val="00E60B52"/>
    <w:rsid w:val="00E6251B"/>
    <w:rsid w:val="00E6368D"/>
    <w:rsid w:val="00E666D8"/>
    <w:rsid w:val="00E67994"/>
    <w:rsid w:val="00E67BAB"/>
    <w:rsid w:val="00E72453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6263"/>
    <w:rsid w:val="00EA7084"/>
    <w:rsid w:val="00EB6C6A"/>
    <w:rsid w:val="00EC1513"/>
    <w:rsid w:val="00EC23D0"/>
    <w:rsid w:val="00EC742A"/>
    <w:rsid w:val="00ED3E91"/>
    <w:rsid w:val="00ED4A73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3BE8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4ED9"/>
    <w:rsid w:val="00F86BC9"/>
    <w:rsid w:val="00F87649"/>
    <w:rsid w:val="00F9303C"/>
    <w:rsid w:val="00FA3AC3"/>
    <w:rsid w:val="00FA763B"/>
    <w:rsid w:val="00FB3C13"/>
    <w:rsid w:val="00FB534A"/>
    <w:rsid w:val="00FB58FF"/>
    <w:rsid w:val="00FC07B6"/>
    <w:rsid w:val="00FC11E9"/>
    <w:rsid w:val="00FC1A31"/>
    <w:rsid w:val="00FD0B42"/>
    <w:rsid w:val="00FD17C1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ABE4B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FFFFFF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FFFFFF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FFFFFF" w:themeColor="accent4"/>
        <w:right w:val="single" w:sz="4" w:space="4" w:color="FFFFFF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FFFFFF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FFFFFF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FFFFFF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FFFFFF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5D3DFC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D3DFC"/>
    <w:rPr>
      <w:rFonts w:ascii="Minion Pro" w:hAnsi="Minion Pro"/>
    </w:rPr>
  </w:style>
  <w:style w:type="table" w:styleId="TableauGrille4-Accentuation1">
    <w:name w:val="Grid Table 4 Accent 1"/>
    <w:basedOn w:val="TableauNormal"/>
    <w:uiPriority w:val="49"/>
    <w:rsid w:val="009111C2"/>
    <w:pPr>
      <w:spacing w:after="0" w:line="240" w:lineRule="auto"/>
    </w:pPr>
    <w:tblPr>
      <w:tblStyleRowBandSize w:val="1"/>
      <w:tblStyleColBandSize w:val="1"/>
      <w:tblBorders>
        <w:top w:val="single" w:sz="4" w:space="0" w:color="C961B1" w:themeColor="accent1" w:themeTint="99"/>
        <w:left w:val="single" w:sz="4" w:space="0" w:color="C961B1" w:themeColor="accent1" w:themeTint="99"/>
        <w:bottom w:val="single" w:sz="4" w:space="0" w:color="C961B1" w:themeColor="accent1" w:themeTint="99"/>
        <w:right w:val="single" w:sz="4" w:space="0" w:color="C961B1" w:themeColor="accent1" w:themeTint="99"/>
        <w:insideH w:val="single" w:sz="4" w:space="0" w:color="C961B1" w:themeColor="accent1" w:themeTint="99"/>
        <w:insideV w:val="single" w:sz="4" w:space="0" w:color="C961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2864" w:themeColor="accent1"/>
          <w:left w:val="single" w:sz="4" w:space="0" w:color="752864" w:themeColor="accent1"/>
          <w:bottom w:val="single" w:sz="4" w:space="0" w:color="752864" w:themeColor="accent1"/>
          <w:right w:val="single" w:sz="4" w:space="0" w:color="752864" w:themeColor="accent1"/>
          <w:insideH w:val="nil"/>
          <w:insideV w:val="nil"/>
        </w:tcBorders>
        <w:shd w:val="clear" w:color="auto" w:fill="752864" w:themeFill="accent1"/>
      </w:tcPr>
    </w:tblStylePr>
    <w:tblStylePr w:type="lastRow">
      <w:rPr>
        <w:b/>
        <w:bCs/>
      </w:rPr>
      <w:tblPr/>
      <w:tcPr>
        <w:tcBorders>
          <w:top w:val="double" w:sz="4" w:space="0" w:color="7528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E5" w:themeFill="accent1" w:themeFillTint="33"/>
      </w:tcPr>
    </w:tblStylePr>
    <w:tblStylePr w:type="band1Horz">
      <w:tblPr/>
      <w:tcPr>
        <w:shd w:val="clear" w:color="auto" w:fill="EDCAE5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9111C2"/>
    <w:pPr>
      <w:spacing w:after="0" w:line="240" w:lineRule="auto"/>
    </w:pPr>
    <w:tblPr>
      <w:tblStyleRowBandSize w:val="1"/>
      <w:tblStyleColBandSize w:val="1"/>
      <w:tblBorders>
        <w:top w:val="single" w:sz="4" w:space="0" w:color="F3D7CB" w:themeColor="accent2" w:themeTint="99"/>
        <w:left w:val="single" w:sz="4" w:space="0" w:color="F3D7CB" w:themeColor="accent2" w:themeTint="99"/>
        <w:bottom w:val="single" w:sz="4" w:space="0" w:color="F3D7CB" w:themeColor="accent2" w:themeTint="99"/>
        <w:right w:val="single" w:sz="4" w:space="0" w:color="F3D7CB" w:themeColor="accent2" w:themeTint="99"/>
        <w:insideH w:val="single" w:sz="4" w:space="0" w:color="F3D7CB" w:themeColor="accent2" w:themeTint="99"/>
        <w:insideV w:val="single" w:sz="4" w:space="0" w:color="F3D7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BDA9" w:themeColor="accent2"/>
          <w:left w:val="single" w:sz="4" w:space="0" w:color="EBBDA9" w:themeColor="accent2"/>
          <w:bottom w:val="single" w:sz="4" w:space="0" w:color="EBBDA9" w:themeColor="accent2"/>
          <w:right w:val="single" w:sz="4" w:space="0" w:color="EBBDA9" w:themeColor="accent2"/>
          <w:insideH w:val="nil"/>
          <w:insideV w:val="nil"/>
        </w:tcBorders>
        <w:shd w:val="clear" w:color="auto" w:fill="EBBDA9" w:themeFill="accent2"/>
      </w:tcPr>
    </w:tblStylePr>
    <w:tblStylePr w:type="lastRow">
      <w:rPr>
        <w:b/>
        <w:bCs/>
      </w:rPr>
      <w:tblPr/>
      <w:tcPr>
        <w:tcBorders>
          <w:top w:val="double" w:sz="4" w:space="0" w:color="EBBD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1ED" w:themeFill="accent2" w:themeFillTint="33"/>
      </w:tcPr>
    </w:tblStylePr>
    <w:tblStylePr w:type="band1Horz">
      <w:tblPr/>
      <w:tcPr>
        <w:shd w:val="clear" w:color="auto" w:fill="FBF1ED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AC04B-502F-4249-8F6F-B017FAB8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650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88</cp:revision>
  <cp:lastPrinted>2017-02-14T16:34:00Z</cp:lastPrinted>
  <dcterms:created xsi:type="dcterms:W3CDTF">2017-04-21T16:37:00Z</dcterms:created>
  <dcterms:modified xsi:type="dcterms:W3CDTF">2024-04-17T11:32:00Z</dcterms:modified>
</cp:coreProperties>
</file>