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801C" w14:textId="77777777" w:rsidR="00737386" w:rsidRPr="00F81581" w:rsidRDefault="00737386" w:rsidP="00F81581">
      <w:pPr>
        <w:pStyle w:val="Titre1"/>
      </w:pPr>
      <w:r w:rsidRPr="00F81581">
        <w:t>Objet</w:t>
      </w:r>
    </w:p>
    <w:p w14:paraId="79CA9E4A" w14:textId="77777777" w:rsidR="00737386" w:rsidRPr="00F81581" w:rsidRDefault="00737386" w:rsidP="00737386">
      <w:pPr>
        <w:rPr>
          <w:rFonts w:ascii="Poppins" w:hAnsi="Poppins" w:cs="Poppins"/>
          <w:sz w:val="20"/>
          <w:szCs w:val="20"/>
        </w:rPr>
      </w:pPr>
      <w:r w:rsidRPr="00F81581">
        <w:rPr>
          <w:rFonts w:ascii="Poppins" w:hAnsi="Poppins" w:cs="Poppins"/>
          <w:sz w:val="20"/>
          <w:szCs w:val="20"/>
        </w:rPr>
        <w:t>Ce mode opératoire décrit les dispositions relatives à la transmission des dossiers d’hospitalisation et des lettres de garanties pour l’ambulatoire entre le secrétariat médical et l’administration.</w:t>
      </w:r>
    </w:p>
    <w:p w14:paraId="6D278134" w14:textId="77777777" w:rsidR="00737386" w:rsidRPr="00F81581" w:rsidRDefault="00737386" w:rsidP="00F81581">
      <w:pPr>
        <w:pStyle w:val="Titre1"/>
      </w:pPr>
      <w:r w:rsidRPr="00F81581">
        <w:t>Domaine d’application</w:t>
      </w:r>
    </w:p>
    <w:p w14:paraId="1F949FB4" w14:textId="77777777" w:rsidR="00737386" w:rsidRPr="00F81581" w:rsidRDefault="00737386" w:rsidP="00737386">
      <w:pPr>
        <w:rPr>
          <w:rFonts w:ascii="Poppins" w:hAnsi="Poppins" w:cs="Poppins"/>
          <w:sz w:val="20"/>
          <w:szCs w:val="20"/>
        </w:rPr>
      </w:pPr>
      <w:r w:rsidRPr="00F81581">
        <w:rPr>
          <w:rFonts w:ascii="Poppins" w:hAnsi="Poppins" w:cs="Poppins"/>
          <w:sz w:val="20"/>
          <w:szCs w:val="20"/>
        </w:rPr>
        <w:t xml:space="preserve">Ce présent mode opératoire s’applique à l’accueil de la clinique et du plateau médical. Les secrétaires médicaux </w:t>
      </w:r>
      <w:r w:rsidR="00112C30" w:rsidRPr="00F81581">
        <w:rPr>
          <w:rFonts w:ascii="Poppins" w:hAnsi="Poppins" w:cs="Poppins"/>
          <w:sz w:val="20"/>
          <w:szCs w:val="20"/>
        </w:rPr>
        <w:t xml:space="preserve">et </w:t>
      </w:r>
      <w:r w:rsidR="00344AB3" w:rsidRPr="00F81581">
        <w:rPr>
          <w:rFonts w:ascii="Poppins" w:hAnsi="Poppins" w:cs="Poppins"/>
          <w:sz w:val="20"/>
          <w:szCs w:val="20"/>
        </w:rPr>
        <w:t>les caissiers</w:t>
      </w:r>
      <w:r w:rsidR="00112C30" w:rsidRPr="00F81581">
        <w:rPr>
          <w:rFonts w:ascii="Poppins" w:hAnsi="Poppins" w:cs="Poppins"/>
          <w:sz w:val="20"/>
          <w:szCs w:val="20"/>
        </w:rPr>
        <w:t xml:space="preserve"> </w:t>
      </w:r>
      <w:r w:rsidRPr="00F81581">
        <w:rPr>
          <w:rFonts w:ascii="Poppins" w:hAnsi="Poppins" w:cs="Poppins"/>
          <w:sz w:val="20"/>
          <w:szCs w:val="20"/>
        </w:rPr>
        <w:t xml:space="preserve">sont tenus de respecter ce mode opératoire. </w:t>
      </w:r>
    </w:p>
    <w:p w14:paraId="23BF80F4" w14:textId="77777777" w:rsidR="00737386" w:rsidRPr="00F81581" w:rsidRDefault="00737386" w:rsidP="00F81581">
      <w:pPr>
        <w:pStyle w:val="Titre1"/>
      </w:pPr>
      <w:r w:rsidRPr="00F81581">
        <w:t>Responsabilité</w:t>
      </w:r>
    </w:p>
    <w:p w14:paraId="04C2CBD7" w14:textId="0E3B5E4D" w:rsidR="00737386" w:rsidRPr="00F81581" w:rsidRDefault="00737386" w:rsidP="00E318B0">
      <w:pPr>
        <w:rPr>
          <w:rFonts w:ascii="Poppins" w:hAnsi="Poppins" w:cs="Poppins"/>
          <w:sz w:val="20"/>
          <w:szCs w:val="20"/>
        </w:rPr>
      </w:pPr>
      <w:r w:rsidRPr="00F81581">
        <w:rPr>
          <w:rFonts w:ascii="Poppins" w:hAnsi="Poppins" w:cs="Poppins"/>
          <w:sz w:val="20"/>
          <w:szCs w:val="20"/>
        </w:rPr>
        <w:t xml:space="preserve">Le pilote du processus Encaissement, Facturation et Recouvrement est chargé de l’application de </w:t>
      </w:r>
      <w:r w:rsidR="00A934A0">
        <w:rPr>
          <w:rFonts w:ascii="Poppins" w:hAnsi="Poppins" w:cs="Poppins"/>
          <w:sz w:val="20"/>
          <w:szCs w:val="20"/>
        </w:rPr>
        <w:t>ce mode opératoire</w:t>
      </w:r>
    </w:p>
    <w:p w14:paraId="40129740" w14:textId="77777777" w:rsidR="00737386" w:rsidRPr="00F81581" w:rsidRDefault="00737386" w:rsidP="00F81581">
      <w:pPr>
        <w:pStyle w:val="Titre1"/>
      </w:pPr>
      <w:r w:rsidRPr="00F81581">
        <w:t>Description du mode opératoire</w:t>
      </w:r>
    </w:p>
    <w:p w14:paraId="2441492B" w14:textId="77777777" w:rsidR="00737386" w:rsidRPr="00F81581" w:rsidRDefault="00737386" w:rsidP="00737386">
      <w:pPr>
        <w:pStyle w:val="Titre2"/>
        <w:rPr>
          <w:rFonts w:ascii="Poppins" w:hAnsi="Poppins" w:cs="Poppins"/>
          <w:color w:val="752864"/>
          <w:sz w:val="20"/>
          <w:szCs w:val="20"/>
        </w:rPr>
      </w:pPr>
      <w:r w:rsidRPr="00F81581">
        <w:rPr>
          <w:rFonts w:ascii="Poppins" w:hAnsi="Poppins" w:cs="Poppins"/>
          <w:color w:val="752864"/>
          <w:sz w:val="20"/>
          <w:szCs w:val="20"/>
        </w:rPr>
        <w:t>Pour l’ambulatoire</w:t>
      </w:r>
    </w:p>
    <w:tbl>
      <w:tblPr>
        <w:tblStyle w:val="TableauGrille1Clair-Accentuation4"/>
        <w:tblW w:w="9493" w:type="dxa"/>
        <w:jc w:val="center"/>
        <w:tblLook w:val="04A0" w:firstRow="1" w:lastRow="0" w:firstColumn="1" w:lastColumn="0" w:noHBand="0" w:noVBand="1"/>
      </w:tblPr>
      <w:tblGrid>
        <w:gridCol w:w="3539"/>
        <w:gridCol w:w="5954"/>
      </w:tblGrid>
      <w:tr w:rsidR="00737386" w:rsidRPr="00F81581" w14:paraId="593A784A" w14:textId="77777777" w:rsidTr="00F81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77A0C511" w14:textId="77777777" w:rsidR="00737386" w:rsidRPr="00F81581" w:rsidRDefault="00737386" w:rsidP="00002EC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954" w:type="dxa"/>
            <w:vAlign w:val="center"/>
          </w:tcPr>
          <w:p w14:paraId="6DB52432" w14:textId="77777777" w:rsidR="00737386" w:rsidRPr="00F81581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</w:tr>
      <w:tr w:rsidR="00737386" w:rsidRPr="00F81581" w14:paraId="719461F4" w14:textId="77777777" w:rsidTr="00F81581">
        <w:trPr>
          <w:trHeight w:val="7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4AEEAC3" w14:textId="447F0F0F" w:rsidR="00112C30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</w:p>
        </w:tc>
        <w:tc>
          <w:tcPr>
            <w:tcW w:w="5954" w:type="dxa"/>
            <w:vAlign w:val="center"/>
          </w:tcPr>
          <w:p w14:paraId="55712B3B" w14:textId="77777777" w:rsidR="00737386" w:rsidRPr="00F81581" w:rsidRDefault="00E318B0" w:rsidP="00E318B0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 chaque versement, récupère les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 xml:space="preserve"> lettres de garanties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de la journée concernée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</w:tr>
      <w:tr w:rsidR="00737386" w:rsidRPr="00F81581" w14:paraId="0915BBE1" w14:textId="77777777" w:rsidTr="00A973A7">
        <w:trPr>
          <w:trHeight w:val="9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68DB2C8F" w14:textId="73F4A67E" w:rsidR="00737386" w:rsidRPr="00F81581" w:rsidRDefault="00112C30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</w:p>
        </w:tc>
        <w:tc>
          <w:tcPr>
            <w:tcW w:w="5954" w:type="dxa"/>
            <w:vAlign w:val="center"/>
          </w:tcPr>
          <w:p w14:paraId="3B4960DC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Vérifie sur place que les lettres de garantie ont été remplies correctement.</w:t>
            </w:r>
          </w:p>
        </w:tc>
      </w:tr>
      <w:tr w:rsidR="00737386" w:rsidRPr="00F81581" w14:paraId="387402E7" w14:textId="77777777" w:rsidTr="00F81581">
        <w:trPr>
          <w:trHeight w:val="1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B7157C8" w14:textId="0D974CEF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</w:p>
        </w:tc>
        <w:tc>
          <w:tcPr>
            <w:tcW w:w="5954" w:type="dxa"/>
            <w:vAlign w:val="center"/>
          </w:tcPr>
          <w:p w14:paraId="264176B7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Vérifie que les bulletins sont disponibles pour les actes extra (échographie, analyse, soins, etc…).</w:t>
            </w:r>
          </w:p>
        </w:tc>
      </w:tr>
      <w:tr w:rsidR="00737386" w:rsidRPr="00F81581" w14:paraId="4B26FC63" w14:textId="77777777" w:rsidTr="00F81581">
        <w:trPr>
          <w:trHeight w:val="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357446C5" w14:textId="424DFA9C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</w:p>
        </w:tc>
        <w:tc>
          <w:tcPr>
            <w:tcW w:w="5954" w:type="dxa"/>
            <w:vAlign w:val="center"/>
          </w:tcPr>
          <w:p w14:paraId="48CBBD39" w14:textId="77777777" w:rsidR="00737386" w:rsidRPr="00F81581" w:rsidRDefault="00737386" w:rsidP="00ED5442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Après vérification, retourne au </w:t>
            </w:r>
            <w:r w:rsidR="00ED5442" w:rsidRPr="00F81581">
              <w:rPr>
                <w:rFonts w:ascii="Poppins" w:hAnsi="Poppins" w:cs="Poppins"/>
                <w:sz w:val="20"/>
                <w:szCs w:val="20"/>
              </w:rPr>
              <w:t xml:space="preserve">caissier ou </w:t>
            </w:r>
            <w:r w:rsidRPr="00F81581">
              <w:rPr>
                <w:rFonts w:ascii="Poppins" w:hAnsi="Poppins" w:cs="Poppins"/>
                <w:sz w:val="20"/>
                <w:szCs w:val="20"/>
              </w:rPr>
              <w:t>à la</w:t>
            </w:r>
            <w:r w:rsidR="00ED5442" w:rsidRPr="00F81581">
              <w:rPr>
                <w:rFonts w:ascii="Poppins" w:hAnsi="Poppins" w:cs="Poppins"/>
                <w:sz w:val="20"/>
                <w:szCs w:val="20"/>
              </w:rPr>
              <w:t xml:space="preserve"> secrétaire médicale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les lettres non conformes ou ayant des documents complémentaires manquants.</w:t>
            </w:r>
          </w:p>
        </w:tc>
      </w:tr>
      <w:tr w:rsidR="00737386" w:rsidRPr="00F81581" w14:paraId="1C24760B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17A620E7" w14:textId="7F6E9230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t>Trésorier</w:t>
            </w:r>
          </w:p>
        </w:tc>
        <w:tc>
          <w:tcPr>
            <w:tcW w:w="5954" w:type="dxa"/>
            <w:vAlign w:val="center"/>
          </w:tcPr>
          <w:p w14:paraId="5B490A7E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Remplit la fiche de décharge selon ce qu’il va emporter et signe.</w:t>
            </w:r>
          </w:p>
        </w:tc>
      </w:tr>
      <w:tr w:rsidR="00737386" w:rsidRPr="00F81581" w14:paraId="4FB51EDA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39AD9C6" w14:textId="0C92C8D1" w:rsidR="00737386" w:rsidRPr="00F81581" w:rsidRDefault="00ED5442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b w:val="0"/>
                <w:sz w:val="20"/>
                <w:szCs w:val="20"/>
              </w:rPr>
              <w:lastRenderedPageBreak/>
              <w:t>Trésorier</w:t>
            </w:r>
          </w:p>
        </w:tc>
        <w:tc>
          <w:tcPr>
            <w:tcW w:w="5954" w:type="dxa"/>
            <w:vAlign w:val="center"/>
          </w:tcPr>
          <w:p w14:paraId="66A1292A" w14:textId="77777777" w:rsidR="00737386" w:rsidRPr="00F81581" w:rsidRDefault="00737386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Fait signer </w:t>
            </w:r>
            <w:r w:rsidR="00ED5442" w:rsidRPr="00F81581">
              <w:rPr>
                <w:rFonts w:ascii="Poppins" w:hAnsi="Poppins" w:cs="Poppins"/>
                <w:sz w:val="20"/>
                <w:szCs w:val="20"/>
              </w:rPr>
              <w:t>au caissier ou à la secrétaire médicale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et garde une copie de cette décharge pendant que l’originale reste avec le </w:t>
            </w:r>
            <w:r w:rsidR="00705F6A" w:rsidRPr="00F81581">
              <w:rPr>
                <w:rFonts w:ascii="Poppins" w:hAnsi="Poppins" w:cs="Poppins"/>
                <w:sz w:val="20"/>
                <w:szCs w:val="20"/>
              </w:rPr>
              <w:t xml:space="preserve">caissier ou à la secrétaire médicale </w:t>
            </w:r>
            <w:r w:rsidRPr="00F81581">
              <w:rPr>
                <w:rFonts w:ascii="Poppins" w:hAnsi="Poppins" w:cs="Poppins"/>
                <w:sz w:val="20"/>
                <w:szCs w:val="20"/>
              </w:rPr>
              <w:t>qui la classe.</w:t>
            </w:r>
          </w:p>
        </w:tc>
      </w:tr>
    </w:tbl>
    <w:p w14:paraId="726D6EEE" w14:textId="77777777" w:rsidR="00737386" w:rsidRPr="00F81581" w:rsidRDefault="00737386" w:rsidP="00737386">
      <w:pPr>
        <w:ind w:firstLine="0"/>
        <w:rPr>
          <w:rFonts w:ascii="Poppins" w:hAnsi="Poppins" w:cs="Poppins"/>
          <w:sz w:val="20"/>
          <w:szCs w:val="20"/>
        </w:rPr>
      </w:pPr>
    </w:p>
    <w:p w14:paraId="6B458337" w14:textId="77777777" w:rsidR="00737386" w:rsidRPr="00F81581" w:rsidRDefault="00737386" w:rsidP="00360671">
      <w:pPr>
        <w:pStyle w:val="Titre2"/>
        <w:rPr>
          <w:rFonts w:ascii="Poppins" w:hAnsi="Poppins" w:cs="Poppins"/>
          <w:color w:val="752864"/>
          <w:sz w:val="20"/>
          <w:szCs w:val="20"/>
        </w:rPr>
      </w:pPr>
      <w:r w:rsidRPr="00F81581">
        <w:rPr>
          <w:rFonts w:ascii="Poppins" w:hAnsi="Poppins" w:cs="Poppins"/>
          <w:color w:val="752864"/>
          <w:sz w:val="20"/>
          <w:szCs w:val="20"/>
        </w:rPr>
        <w:t>Pour les hospitalisations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5103"/>
        <w:gridCol w:w="2835"/>
      </w:tblGrid>
      <w:tr w:rsidR="00737386" w:rsidRPr="00F81581" w14:paraId="5A0549C4" w14:textId="77777777" w:rsidTr="00F81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4C7BE67" w14:textId="77777777" w:rsidR="00737386" w:rsidRPr="00F81581" w:rsidRDefault="00737386" w:rsidP="00002EC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103" w:type="dxa"/>
            <w:vAlign w:val="center"/>
          </w:tcPr>
          <w:p w14:paraId="5DE06522" w14:textId="77777777" w:rsidR="00737386" w:rsidRPr="00F81581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2835" w:type="dxa"/>
            <w:vAlign w:val="center"/>
          </w:tcPr>
          <w:p w14:paraId="0494C2E4" w14:textId="77777777" w:rsidR="00737386" w:rsidRPr="00F81581" w:rsidRDefault="00737386" w:rsidP="00002EC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737386" w:rsidRPr="00F81581" w14:paraId="401592CB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7EBD31A" w14:textId="2EE1BF43" w:rsidR="00737386" w:rsidRPr="00F81581" w:rsidRDefault="00A973A7" w:rsidP="00002EC6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4D0E3954" w14:textId="7823B58F" w:rsidR="00737386" w:rsidRPr="00F81581" w:rsidRDefault="00705F6A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Tous les jours, réclame à la secrétaire </w:t>
            </w:r>
            <w:r w:rsidR="00A973A7">
              <w:rPr>
                <w:rFonts w:ascii="Poppins" w:hAnsi="Poppins" w:cs="Poppins"/>
                <w:sz w:val="20"/>
                <w:szCs w:val="20"/>
              </w:rPr>
              <w:t>m</w:t>
            </w:r>
            <w:r w:rsidRPr="00F81581">
              <w:rPr>
                <w:rFonts w:ascii="Poppins" w:hAnsi="Poppins" w:cs="Poppins"/>
                <w:sz w:val="20"/>
                <w:szCs w:val="20"/>
              </w:rPr>
              <w:t>édiale</w:t>
            </w:r>
            <w:r w:rsidR="009A2162" w:rsidRPr="00F81581">
              <w:rPr>
                <w:rFonts w:ascii="Poppins" w:hAnsi="Poppins" w:cs="Poppins"/>
                <w:sz w:val="20"/>
                <w:szCs w:val="20"/>
              </w:rPr>
              <w:t xml:space="preserve"> les dossiers dont les dates de sortie sont renseignées sur </w:t>
            </w:r>
            <w:proofErr w:type="spellStart"/>
            <w:r w:rsidR="009A2162" w:rsidRPr="00F81581">
              <w:rPr>
                <w:rFonts w:ascii="Poppins" w:hAnsi="Poppins" w:cs="Poppins"/>
                <w:sz w:val="20"/>
                <w:szCs w:val="20"/>
              </w:rPr>
              <w:t>Eyone</w:t>
            </w:r>
            <w:proofErr w:type="spellEnd"/>
          </w:p>
        </w:tc>
        <w:tc>
          <w:tcPr>
            <w:tcW w:w="2835" w:type="dxa"/>
            <w:vAlign w:val="center"/>
          </w:tcPr>
          <w:p w14:paraId="35BA1DCA" w14:textId="77777777" w:rsidR="00737386" w:rsidRPr="00F81581" w:rsidRDefault="00737386" w:rsidP="00002EC6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37386" w:rsidRPr="00F81581" w14:paraId="3CA0F8B3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6AD495E" w14:textId="6AF69403" w:rsidR="00737386" w:rsidRPr="00F81581" w:rsidRDefault="00A973A7" w:rsidP="00002EC6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10E469E7" w14:textId="77777777" w:rsidR="00737386" w:rsidRPr="00F81581" w:rsidRDefault="00705F6A" w:rsidP="00705F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 xml:space="preserve">Vérifie 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pour chaque patient, tous les documents nécessaires à la facturation sont disponibles.</w:t>
            </w:r>
          </w:p>
        </w:tc>
        <w:tc>
          <w:tcPr>
            <w:tcW w:w="2835" w:type="dxa"/>
            <w:vAlign w:val="center"/>
          </w:tcPr>
          <w:p w14:paraId="25BF72B9" w14:textId="77777777" w:rsidR="00737386" w:rsidRPr="00F81581" w:rsidRDefault="00737386" w:rsidP="00705F6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Cf. mode opératoire de facturation</w:t>
            </w:r>
          </w:p>
        </w:tc>
      </w:tr>
      <w:tr w:rsidR="00737386" w:rsidRPr="00F81581" w14:paraId="2CA1EE18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671CE89" w14:textId="216CB6DB" w:rsidR="00737386" w:rsidRPr="00F81581" w:rsidRDefault="00A973A7" w:rsidP="00A973A7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570D19A3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Vérifie que lesdits documents ont été correctement remplis.</w:t>
            </w:r>
          </w:p>
        </w:tc>
        <w:tc>
          <w:tcPr>
            <w:tcW w:w="2835" w:type="dxa"/>
            <w:vAlign w:val="center"/>
          </w:tcPr>
          <w:p w14:paraId="2C9D6113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737386" w:rsidRPr="00F81581" w14:paraId="4CEBF8B2" w14:textId="77777777" w:rsidTr="00F8158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B37E08A" w14:textId="5B0F5EC0" w:rsidR="00737386" w:rsidRPr="00F81581" w:rsidRDefault="00A973A7" w:rsidP="00002EC6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>
              <w:rPr>
                <w:rFonts w:ascii="Poppins" w:hAnsi="Poppins" w:cs="Poppins"/>
                <w:b w:val="0"/>
                <w:sz w:val="20"/>
                <w:szCs w:val="20"/>
              </w:rPr>
              <w:t>Assistant facturation</w:t>
            </w:r>
          </w:p>
        </w:tc>
        <w:tc>
          <w:tcPr>
            <w:tcW w:w="5103" w:type="dxa"/>
            <w:vAlign w:val="center"/>
          </w:tcPr>
          <w:p w14:paraId="09ADF576" w14:textId="77777777" w:rsidR="00737386" w:rsidRPr="00F81581" w:rsidRDefault="00705F6A" w:rsidP="00705F6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F81581">
              <w:rPr>
                <w:rFonts w:ascii="Poppins" w:hAnsi="Poppins" w:cs="Poppins"/>
                <w:sz w:val="20"/>
                <w:szCs w:val="20"/>
              </w:rPr>
              <w:t>Après vérification, retourne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 xml:space="preserve"> à la secrétaire médical</w:t>
            </w:r>
            <w:r w:rsidRPr="00F81581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737386" w:rsidRPr="00F81581">
              <w:rPr>
                <w:rFonts w:ascii="Poppins" w:hAnsi="Poppins" w:cs="Poppins"/>
                <w:sz w:val="20"/>
                <w:szCs w:val="20"/>
              </w:rPr>
              <w:t>les dossiers incomplets ou non conformes.</w:t>
            </w:r>
          </w:p>
        </w:tc>
        <w:tc>
          <w:tcPr>
            <w:tcW w:w="2835" w:type="dxa"/>
            <w:vAlign w:val="center"/>
          </w:tcPr>
          <w:p w14:paraId="71AE75D9" w14:textId="77777777" w:rsidR="00737386" w:rsidRPr="00F81581" w:rsidRDefault="00737386" w:rsidP="00002EC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0B4B050C" w14:textId="77777777" w:rsidR="00737386" w:rsidRPr="00F81581" w:rsidRDefault="00737386" w:rsidP="00737386">
      <w:pPr>
        <w:ind w:firstLine="0"/>
        <w:rPr>
          <w:rFonts w:ascii="Poppins" w:hAnsi="Poppins" w:cs="Poppins"/>
          <w:sz w:val="20"/>
          <w:szCs w:val="20"/>
          <w:lang w:eastAsia="fr-FR"/>
        </w:rPr>
      </w:pPr>
    </w:p>
    <w:p w14:paraId="580D4944" w14:textId="77777777" w:rsidR="005B5385" w:rsidRPr="00F81581" w:rsidRDefault="005B5385">
      <w:pPr>
        <w:rPr>
          <w:rFonts w:ascii="Poppins" w:hAnsi="Poppins" w:cs="Poppins"/>
          <w:sz w:val="20"/>
          <w:szCs w:val="20"/>
        </w:rPr>
      </w:pPr>
    </w:p>
    <w:sectPr w:rsidR="005B5385" w:rsidRPr="00F81581" w:rsidSect="003878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EBC3" w14:textId="77777777" w:rsidR="003878E6" w:rsidRDefault="003878E6">
      <w:pPr>
        <w:spacing w:before="0" w:after="0" w:line="240" w:lineRule="auto"/>
      </w:pPr>
      <w:r>
        <w:separator/>
      </w:r>
    </w:p>
  </w:endnote>
  <w:endnote w:type="continuationSeparator" w:id="0">
    <w:p w14:paraId="3B2F65FC" w14:textId="77777777" w:rsidR="003878E6" w:rsidRDefault="003878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F8E5" w14:textId="77777777" w:rsidR="003878E6" w:rsidRDefault="003878E6">
      <w:pPr>
        <w:spacing w:before="0" w:after="0" w:line="240" w:lineRule="auto"/>
      </w:pPr>
      <w:r>
        <w:separator/>
      </w:r>
    </w:p>
  </w:footnote>
  <w:footnote w:type="continuationSeparator" w:id="0">
    <w:p w14:paraId="38BE0CE9" w14:textId="77777777" w:rsidR="003878E6" w:rsidRDefault="003878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3A5191" w14:paraId="57154DC6" w14:textId="77777777" w:rsidTr="00967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FA27711" w14:textId="77777777" w:rsidR="005B5385" w:rsidRPr="003A5191" w:rsidRDefault="003A5191" w:rsidP="003A5191">
          <w:pPr>
            <w:pStyle w:val="En-tte"/>
            <w:ind w:firstLine="0"/>
            <w:rPr>
              <w:rFonts w:ascii="Poppins" w:hAnsi="Poppins" w:cs="Poppins"/>
              <w:b w:val="0"/>
            </w:rPr>
          </w:pPr>
          <w:r w:rsidRPr="003A5191">
            <w:rPr>
              <w:rFonts w:ascii="Poppins" w:hAnsi="Poppins" w:cs="Poppins"/>
              <w:noProof/>
            </w:rPr>
            <w:drawing>
              <wp:inline distT="0" distB="0" distL="0" distR="0" wp14:anchorId="6B72DE42" wp14:editId="30C56E02">
                <wp:extent cx="1171575" cy="7905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6BE8F1C" w14:textId="77777777" w:rsidR="005B5385" w:rsidRPr="003A5191" w:rsidRDefault="00737386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3A5191">
            <w:rPr>
              <w:rFonts w:ascii="Poppins" w:hAnsi="Poppins" w:cs="Poppins"/>
              <w:b w:val="0"/>
              <w:color w:val="752864"/>
            </w:rPr>
            <w:t>Mode opératoire</w:t>
          </w:r>
        </w:p>
        <w:p w14:paraId="4784E709" w14:textId="77777777" w:rsidR="005B5385" w:rsidRPr="003A5191" w:rsidRDefault="00737386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3A5191">
            <w:rPr>
              <w:rFonts w:ascii="Poppins" w:hAnsi="Poppins" w:cs="Poppins"/>
              <w:b w:val="0"/>
              <w:color w:val="752864"/>
            </w:rPr>
            <w:t>Transmission des dossiers</w:t>
          </w:r>
        </w:p>
      </w:tc>
      <w:tc>
        <w:tcPr>
          <w:tcW w:w="2408" w:type="dxa"/>
          <w:vAlign w:val="center"/>
        </w:tcPr>
        <w:p w14:paraId="27BEA038" w14:textId="71A689E0" w:rsidR="005B5385" w:rsidRPr="003A5191" w:rsidRDefault="00B96388" w:rsidP="00B96388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B96388">
            <w:rPr>
              <w:rFonts w:ascii="Poppins" w:hAnsi="Poppins" w:cs="Poppins"/>
              <w:b w:val="0"/>
              <w:color w:val="752864"/>
              <w:sz w:val="22"/>
              <w:szCs w:val="22"/>
            </w:rPr>
            <w:t xml:space="preserve">Page : </w:t>
          </w:r>
          <w:r w:rsidRPr="00B96388">
            <w:rPr>
              <w:rFonts w:ascii="Poppins" w:hAnsi="Poppins" w:cs="Poppins"/>
              <w:bCs w:val="0"/>
              <w:color w:val="752864"/>
              <w:sz w:val="22"/>
              <w:szCs w:val="22"/>
            </w:rPr>
            <w:fldChar w:fldCharType="begin"/>
          </w:r>
          <w:r w:rsidRPr="00B96388">
            <w:rPr>
              <w:rFonts w:ascii="Poppins" w:hAnsi="Poppins" w:cs="Poppins"/>
              <w:bCs w:val="0"/>
              <w:color w:val="752864"/>
              <w:sz w:val="22"/>
              <w:szCs w:val="22"/>
            </w:rPr>
            <w:instrText>PAGE   \* MERGEFORMAT</w:instrText>
          </w:r>
          <w:r w:rsidRPr="00B96388">
            <w:rPr>
              <w:rFonts w:ascii="Poppins" w:hAnsi="Poppins" w:cs="Poppins"/>
              <w:bCs w:val="0"/>
              <w:color w:val="752864"/>
              <w:sz w:val="22"/>
              <w:szCs w:val="22"/>
            </w:rPr>
            <w:fldChar w:fldCharType="separate"/>
          </w:r>
          <w:r w:rsidRPr="00B96388">
            <w:rPr>
              <w:rFonts w:ascii="Poppins" w:hAnsi="Poppins" w:cs="Poppins"/>
              <w:bCs w:val="0"/>
              <w:color w:val="752864"/>
              <w:sz w:val="22"/>
              <w:szCs w:val="22"/>
            </w:rPr>
            <w:t>1</w:t>
          </w:r>
          <w:r w:rsidRPr="00B96388">
            <w:rPr>
              <w:rFonts w:ascii="Poppins" w:hAnsi="Poppins" w:cs="Poppins"/>
              <w:bCs w:val="0"/>
              <w:color w:val="752864"/>
              <w:sz w:val="22"/>
              <w:szCs w:val="22"/>
            </w:rPr>
            <w:fldChar w:fldCharType="end"/>
          </w:r>
        </w:p>
      </w:tc>
    </w:tr>
  </w:tbl>
  <w:p w14:paraId="67557F11" w14:textId="77777777" w:rsidR="005B5385" w:rsidRPr="003A5191" w:rsidRDefault="005B5385" w:rsidP="007C0048">
    <w:pPr>
      <w:ind w:firstLine="0"/>
      <w:rPr>
        <w:rFonts w:ascii="Poppins" w:hAnsi="Poppins" w:cs="Poppi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86"/>
    <w:rsid w:val="000F1413"/>
    <w:rsid w:val="00112C30"/>
    <w:rsid w:val="00344AB3"/>
    <w:rsid w:val="00360671"/>
    <w:rsid w:val="003878E6"/>
    <w:rsid w:val="003A5191"/>
    <w:rsid w:val="00451EDF"/>
    <w:rsid w:val="00464264"/>
    <w:rsid w:val="004A026F"/>
    <w:rsid w:val="0059076B"/>
    <w:rsid w:val="005B5385"/>
    <w:rsid w:val="005E1D70"/>
    <w:rsid w:val="00705F6A"/>
    <w:rsid w:val="00737386"/>
    <w:rsid w:val="007D7507"/>
    <w:rsid w:val="008F170E"/>
    <w:rsid w:val="00960791"/>
    <w:rsid w:val="009A2162"/>
    <w:rsid w:val="009E2A4F"/>
    <w:rsid w:val="00A934A0"/>
    <w:rsid w:val="00A973A7"/>
    <w:rsid w:val="00AA0AFE"/>
    <w:rsid w:val="00B96388"/>
    <w:rsid w:val="00BA3055"/>
    <w:rsid w:val="00C42F07"/>
    <w:rsid w:val="00C82D7C"/>
    <w:rsid w:val="00DD70D4"/>
    <w:rsid w:val="00E318B0"/>
    <w:rsid w:val="00ED5442"/>
    <w:rsid w:val="00F10647"/>
    <w:rsid w:val="00F81581"/>
    <w:rsid w:val="00F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59F8"/>
  <w15:chartTrackingRefBased/>
  <w15:docId w15:val="{5A1C60A7-68EE-4A22-A21C-CA2DCB0E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86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F81581"/>
    <w:pPr>
      <w:keepNext/>
      <w:keepLines/>
      <w:spacing w:before="0"/>
      <w:jc w:val="left"/>
      <w:outlineLvl w:val="0"/>
    </w:pPr>
    <w:rPr>
      <w:rFonts w:ascii="Poppins" w:eastAsiaTheme="majorEastAsia" w:hAnsi="Poppins" w:cs="Poppins"/>
      <w:color w:val="752864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7386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581"/>
    <w:rPr>
      <w:rFonts w:ascii="Poppins" w:eastAsiaTheme="majorEastAsia" w:hAnsi="Poppins" w:cs="Poppins"/>
      <w:color w:val="752864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37386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37386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7386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73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386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737386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E318B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18B0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 Le Flour</cp:lastModifiedBy>
  <cp:revision>13</cp:revision>
  <dcterms:created xsi:type="dcterms:W3CDTF">2020-08-12T13:22:00Z</dcterms:created>
  <dcterms:modified xsi:type="dcterms:W3CDTF">2024-04-12T16:02:00Z</dcterms:modified>
</cp:coreProperties>
</file>