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4B2D4D">
      <w:pPr>
        <w:pStyle w:val="Titre1"/>
        <w:rPr>
          <w:rFonts w:hint="eastAsia"/>
        </w:rPr>
      </w:pPr>
      <w:bookmarkStart w:id="1" w:name="_GoBack"/>
      <w:bookmarkEnd w:id="1"/>
      <w:r>
        <w:t>Objet</w:t>
      </w:r>
    </w:p>
    <w:p w:rsidR="00E666D8" w:rsidRPr="00AD49A1" w:rsidRDefault="002639BE" w:rsidP="002E73BB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1629BA">
        <w:t xml:space="preserve"> </w:t>
      </w:r>
      <w:r w:rsidR="009A0DEB">
        <w:t xml:space="preserve">facturation </w:t>
      </w:r>
      <w:r w:rsidR="00290874">
        <w:t xml:space="preserve">et encaissement </w:t>
      </w:r>
      <w:r w:rsidR="009A0DEB">
        <w:t xml:space="preserve">des </w:t>
      </w:r>
      <w:r w:rsidR="00772D71">
        <w:t>patients</w:t>
      </w:r>
      <w:r w:rsidR="00243FDA">
        <w:t>.</w:t>
      </w:r>
    </w:p>
    <w:p w:rsidR="00C76996" w:rsidRPr="007C0048" w:rsidRDefault="00C76996" w:rsidP="007C0048">
      <w:pPr>
        <w:pStyle w:val="Titre1"/>
        <w:rPr>
          <w:rFonts w:hint="eastAsia"/>
        </w:rPr>
      </w:pPr>
      <w:r w:rsidRPr="007C0048">
        <w:t>Domaine d’application</w:t>
      </w:r>
    </w:p>
    <w:p w:rsidR="000A7C99" w:rsidRPr="00AD49A1" w:rsidRDefault="00C76996" w:rsidP="002E73BB">
      <w:r w:rsidRPr="00CB5C0F">
        <w:t xml:space="preserve"> </w:t>
      </w:r>
      <w:r w:rsidR="00E666D8">
        <w:t>Ce présent mode opératoire</w:t>
      </w:r>
      <w:r w:rsidR="009A0DEB">
        <w:t xml:space="preserve"> s’applique </w:t>
      </w:r>
      <w:r w:rsidR="00243FDA">
        <w:t>à la caisse des structures NEST.</w:t>
      </w:r>
    </w:p>
    <w:p w:rsidR="009E326A" w:rsidRPr="00056F96" w:rsidRDefault="00CB5C0F" w:rsidP="007C0048">
      <w:pPr>
        <w:pStyle w:val="Titre1"/>
        <w:rPr>
          <w:rFonts w:hint="eastAsia"/>
        </w:rPr>
      </w:pPr>
      <w:r>
        <w:t>Responsabilité</w:t>
      </w:r>
    </w:p>
    <w:p w:rsidR="00EC1513" w:rsidRPr="00AD49A1" w:rsidRDefault="00991F89" w:rsidP="002E73BB">
      <w:r>
        <w:t xml:space="preserve">Le pilote </w:t>
      </w:r>
      <w:r w:rsidR="00CB5C0F">
        <w:t xml:space="preserve">est </w:t>
      </w:r>
      <w:r w:rsidR="009E326A" w:rsidRPr="00CB5C0F">
        <w:t xml:space="preserve">chargé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Default="00D23A42" w:rsidP="00692DFA">
      <w:pPr>
        <w:pStyle w:val="Titre1"/>
        <w:rPr>
          <w:rFonts w:hint="eastAsia"/>
        </w:rPr>
      </w:pPr>
      <w:r>
        <w:t>Description du mode opératoire</w:t>
      </w:r>
    </w:p>
    <w:p w:rsidR="003D4CFC" w:rsidRPr="003D4CFC" w:rsidRDefault="003D4CFC" w:rsidP="00F3165F">
      <w:pPr>
        <w:pStyle w:val="Titre2"/>
        <w:rPr>
          <w:rFonts w:hint="eastAsia"/>
        </w:rPr>
      </w:pPr>
      <w:r>
        <w:t>Avec prise en charge</w:t>
      </w:r>
    </w:p>
    <w:tbl>
      <w:tblPr>
        <w:tblStyle w:val="TableauGrille1Clair-Accentuation41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7513"/>
      </w:tblGrid>
      <w:tr w:rsidR="00F3165F" w:rsidRPr="001F3F6E" w:rsidTr="00F31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F3165F" w:rsidRPr="008E6379" w:rsidRDefault="00F3165F" w:rsidP="009E1298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513" w:type="dxa"/>
            <w:vAlign w:val="center"/>
          </w:tcPr>
          <w:p w:rsidR="00F3165F" w:rsidRPr="008E6379" w:rsidRDefault="00F3165F" w:rsidP="009E1298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F3165F" w:rsidRPr="001F3F6E" w:rsidTr="00F3165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F3165F" w:rsidRPr="005C61BD" w:rsidRDefault="005C61BD" w:rsidP="005C61BD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5C61BD">
              <w:rPr>
                <w:b w:val="0"/>
              </w:rPr>
              <w:t>C</w:t>
            </w:r>
            <w:r w:rsidR="00F3165F" w:rsidRPr="005C61BD">
              <w:rPr>
                <w:b w:val="0"/>
              </w:rPr>
              <w:t>aissier(-ière)</w:t>
            </w:r>
            <w:r w:rsidR="001C39F3">
              <w:rPr>
                <w:b w:val="0"/>
              </w:rPr>
              <w:t xml:space="preserve"> / Responsable Facturation</w:t>
            </w:r>
          </w:p>
        </w:tc>
        <w:tc>
          <w:tcPr>
            <w:tcW w:w="7513" w:type="dxa"/>
            <w:vAlign w:val="center"/>
          </w:tcPr>
          <w:p w:rsidR="00F3165F" w:rsidRPr="00C73B4A" w:rsidRDefault="00F3165F" w:rsidP="00C73B4A">
            <w:pPr>
              <w:spacing w:before="0" w:after="160"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2535">
              <w:rPr>
                <w:b/>
              </w:rPr>
              <w:t>Vérifie l’identité du patient</w:t>
            </w:r>
            <w:r w:rsidRPr="00C73B4A">
              <w:t> en comparant le nom et la photo (si disponible) de la carte d’assuré et</w:t>
            </w:r>
            <w:r w:rsidR="00973446">
              <w:t xml:space="preserve"> de</w:t>
            </w:r>
            <w:r w:rsidRPr="00C73B4A">
              <w:t xml:space="preserve"> la pièce d’identité. Si ce n’est pas conforme, refuse la lettre de garantie ou l’utilisation de la carte.</w:t>
            </w:r>
          </w:p>
        </w:tc>
      </w:tr>
      <w:tr w:rsidR="005C61BD" w:rsidRPr="001F3F6E" w:rsidTr="005C61B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5C61BD" w:rsidRPr="005C61BD" w:rsidRDefault="001C39F3" w:rsidP="005C61BD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5C61BD">
              <w:rPr>
                <w:b w:val="0"/>
              </w:rPr>
              <w:t>Caissier(-ière)</w:t>
            </w:r>
            <w:r>
              <w:rPr>
                <w:b w:val="0"/>
              </w:rPr>
              <w:t xml:space="preserve"> / Responsable Facturation</w:t>
            </w:r>
          </w:p>
        </w:tc>
        <w:tc>
          <w:tcPr>
            <w:tcW w:w="7513" w:type="dxa"/>
            <w:vAlign w:val="center"/>
          </w:tcPr>
          <w:p w:rsidR="005C61BD" w:rsidRPr="00C73B4A" w:rsidRDefault="005C61BD" w:rsidP="005C61BD">
            <w:pPr>
              <w:spacing w:before="0" w:after="160"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2535">
              <w:rPr>
                <w:b/>
              </w:rPr>
              <w:t>Vérifie que l’entreprise concernée ne fait pas partie de celles suspendues</w:t>
            </w:r>
            <w:r w:rsidRPr="00C73B4A">
              <w:t xml:space="preserve"> en ce moment. Si c’est le cas, refuse l’utilisation de la carte ou de la lettre de garantie.</w:t>
            </w:r>
          </w:p>
          <w:p w:rsidR="005C61BD" w:rsidRPr="00C73B4A" w:rsidRDefault="005C61BD" w:rsidP="005C61BD">
            <w:pPr>
              <w:spacing w:before="0" w:after="160"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2535">
              <w:rPr>
                <w:b/>
              </w:rPr>
              <w:t>Vérifie que la carte est toujours valable</w:t>
            </w:r>
            <w:r w:rsidRPr="00C73B4A">
              <w:t xml:space="preserve"> ou que </w:t>
            </w:r>
            <w:r w:rsidRPr="00212535">
              <w:rPr>
                <w:b/>
              </w:rPr>
              <w:t>le délai de la lettre de garantie n’est pas passé</w:t>
            </w:r>
            <w:r w:rsidRPr="00C73B4A">
              <w:t>. Si c’est le cas, refuse l’utilisation de la carte ou de la lettre de garantie.</w:t>
            </w:r>
          </w:p>
        </w:tc>
      </w:tr>
      <w:tr w:rsidR="005C61BD" w:rsidRPr="001F3F6E" w:rsidTr="005C61B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5C61BD" w:rsidRPr="005C61BD" w:rsidRDefault="001C39F3" w:rsidP="005C61BD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5C61BD">
              <w:rPr>
                <w:b w:val="0"/>
              </w:rPr>
              <w:t>Caissier(-ière)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7513" w:type="dxa"/>
            <w:vAlign w:val="center"/>
          </w:tcPr>
          <w:p w:rsidR="005C61BD" w:rsidRPr="00C73B4A" w:rsidRDefault="005C61BD" w:rsidP="005C61BD">
            <w:pPr>
              <w:spacing w:before="0" w:after="160"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3B4A">
              <w:t xml:space="preserve">Si l’acte demandé n’est pas une simple consultation, </w:t>
            </w:r>
            <w:r w:rsidRPr="00212535">
              <w:rPr>
                <w:b/>
              </w:rPr>
              <w:t>réclame le bulletin</w:t>
            </w:r>
            <w:r w:rsidRPr="00C73B4A">
              <w:t xml:space="preserve"> justifiant l’exécution dudit acte. Si le document n’est pas disponible, fait payer l’acte par espèce ou prend une garantie jusqu’à obtention du document.</w:t>
            </w:r>
          </w:p>
        </w:tc>
      </w:tr>
      <w:tr w:rsidR="005C61BD" w:rsidRPr="001F3F6E" w:rsidTr="005C61B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5C61BD" w:rsidRPr="005C61BD" w:rsidRDefault="002B72EA" w:rsidP="005C61BD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Responsable Facturation</w:t>
            </w:r>
          </w:p>
        </w:tc>
        <w:tc>
          <w:tcPr>
            <w:tcW w:w="7513" w:type="dxa"/>
            <w:vAlign w:val="center"/>
          </w:tcPr>
          <w:p w:rsidR="005C61BD" w:rsidRPr="00C73B4A" w:rsidRDefault="005C61BD" w:rsidP="005C61BD">
            <w:pPr>
              <w:spacing w:before="0" w:after="160"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2535">
              <w:rPr>
                <w:b/>
              </w:rPr>
              <w:t>Se réfère à la grille tarifaire</w:t>
            </w:r>
            <w:r w:rsidRPr="00C73B4A">
              <w:t xml:space="preserve"> pour remplir la lettre de garantie et/ou pour calculer la quote-part du patient à lui réclamer</w:t>
            </w:r>
            <w:r w:rsidR="00FB308F">
              <w:t xml:space="preserve"> et fait payer le patient si besoin</w:t>
            </w:r>
            <w:r>
              <w:t>.</w:t>
            </w:r>
          </w:p>
        </w:tc>
      </w:tr>
      <w:tr w:rsidR="005C61BD" w:rsidRPr="001F3F6E" w:rsidTr="005C61B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5C61BD" w:rsidRPr="005C61BD" w:rsidRDefault="005C61BD" w:rsidP="005C61BD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:rsidR="005C61BD" w:rsidRPr="00C73B4A" w:rsidRDefault="005C61BD" w:rsidP="005C61BD">
            <w:pPr>
              <w:spacing w:before="0" w:after="160"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73B4A">
              <w:t>Si c’est un habitué, et qu’il est venu sans la lettre ou la carte, et qu</w:t>
            </w:r>
            <w:r w:rsidR="00FB308F">
              <w:t>’</w:t>
            </w:r>
            <w:r w:rsidRPr="00C73B4A">
              <w:t>i</w:t>
            </w:r>
            <w:r w:rsidR="00FB308F">
              <w:t>l</w:t>
            </w:r>
            <w:r w:rsidRPr="00C73B4A">
              <w:t xml:space="preserve"> n’a pas de quoi payer la caution ou la quote</w:t>
            </w:r>
            <w:r w:rsidR="00D9180A">
              <w:t>-</w:t>
            </w:r>
            <w:r w:rsidR="00FB308F">
              <w:t>part, lui faire</w:t>
            </w:r>
            <w:r w:rsidRPr="00C73B4A">
              <w:t xml:space="preserve"> signer une reconnaissance de dette (note de crédit).</w:t>
            </w:r>
          </w:p>
        </w:tc>
      </w:tr>
      <w:tr w:rsidR="005C61BD" w:rsidRPr="001F3F6E" w:rsidTr="005C61BD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:rsidR="005C61BD" w:rsidRPr="005C61BD" w:rsidRDefault="005C61BD" w:rsidP="005C61BD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300020">
              <w:rPr>
                <w:b w:val="0"/>
              </w:rPr>
              <w:t>Caissier(-ière)</w:t>
            </w:r>
          </w:p>
        </w:tc>
        <w:tc>
          <w:tcPr>
            <w:tcW w:w="7513" w:type="dxa"/>
            <w:vAlign w:val="center"/>
          </w:tcPr>
          <w:p w:rsidR="005C61BD" w:rsidRDefault="009E5EFB" w:rsidP="00FB308F">
            <w:pPr>
              <w:spacing w:line="259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</w:rPr>
              <w:t>Remplit</w:t>
            </w:r>
            <w:r w:rsidR="00FB308F">
              <w:rPr>
                <w:b/>
              </w:rPr>
              <w:t xml:space="preserve"> </w:t>
            </w:r>
            <w:r w:rsidR="005C61BD" w:rsidRPr="00212535">
              <w:rPr>
                <w:b/>
              </w:rPr>
              <w:t xml:space="preserve"> toujours le carnet de reçu</w:t>
            </w:r>
            <w:r w:rsidR="00212535">
              <w:rPr>
                <w:b/>
              </w:rPr>
              <w:t>s</w:t>
            </w:r>
            <w:r w:rsidR="005C61BD" w:rsidRPr="00C73B4A">
              <w:t xml:space="preserve"> quelle que s</w:t>
            </w:r>
            <w:r>
              <w:t xml:space="preserve">oit la situation et remet </w:t>
            </w:r>
            <w:r w:rsidR="00FB308F">
              <w:t xml:space="preserve">le premier </w:t>
            </w:r>
            <w:r w:rsidR="005C61BD" w:rsidRPr="00C73B4A">
              <w:t>feuillet</w:t>
            </w:r>
            <w:r w:rsidR="00FB308F">
              <w:t xml:space="preserve"> au patient si il a payé et le deuxième au médecin</w:t>
            </w:r>
            <w:r w:rsidR="005C61BD" w:rsidRPr="00C73B4A">
              <w:t>.</w:t>
            </w:r>
          </w:p>
        </w:tc>
      </w:tr>
    </w:tbl>
    <w:p w:rsidR="00867B12" w:rsidRDefault="00867B12" w:rsidP="00A50F72">
      <w:pPr>
        <w:ind w:firstLine="0"/>
      </w:pPr>
    </w:p>
    <w:sectPr w:rsidR="00867B12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085" w:rsidRDefault="00431085" w:rsidP="00B069CF">
      <w:r>
        <w:separator/>
      </w:r>
    </w:p>
    <w:p w:rsidR="00431085" w:rsidRDefault="00431085" w:rsidP="00B069CF"/>
    <w:p w:rsidR="00431085" w:rsidRDefault="00431085" w:rsidP="00B069CF"/>
    <w:p w:rsidR="00431085" w:rsidRDefault="00431085" w:rsidP="00B069CF"/>
  </w:endnote>
  <w:endnote w:type="continuationSeparator" w:id="0">
    <w:p w:rsidR="00431085" w:rsidRDefault="00431085" w:rsidP="00B069CF">
      <w:r>
        <w:continuationSeparator/>
      </w:r>
    </w:p>
    <w:p w:rsidR="00431085" w:rsidRDefault="00431085" w:rsidP="00B069CF"/>
    <w:p w:rsidR="00431085" w:rsidRDefault="00431085" w:rsidP="00B069CF"/>
    <w:p w:rsidR="00431085" w:rsidRDefault="00431085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085" w:rsidRDefault="00431085" w:rsidP="00B069CF">
      <w:bookmarkStart w:id="0" w:name="_Hlk480555709"/>
      <w:bookmarkEnd w:id="0"/>
      <w:r>
        <w:separator/>
      </w:r>
    </w:p>
    <w:p w:rsidR="00431085" w:rsidRDefault="00431085" w:rsidP="00B069CF"/>
    <w:p w:rsidR="00431085" w:rsidRDefault="00431085" w:rsidP="00B069CF"/>
    <w:p w:rsidR="00431085" w:rsidRDefault="00431085" w:rsidP="00B069CF"/>
  </w:footnote>
  <w:footnote w:type="continuationSeparator" w:id="0">
    <w:p w:rsidR="00431085" w:rsidRDefault="00431085" w:rsidP="00B069CF">
      <w:r>
        <w:continuationSeparator/>
      </w:r>
    </w:p>
    <w:p w:rsidR="00431085" w:rsidRDefault="00431085" w:rsidP="00B069CF"/>
    <w:p w:rsidR="00431085" w:rsidRDefault="00431085" w:rsidP="00B069CF"/>
    <w:p w:rsidR="00431085" w:rsidRDefault="00431085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hint="eastAsia"/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C05C48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hint="eastAsia"/>
            </w:rPr>
          </w:pPr>
          <w:r>
            <w:rPr>
              <w:b w:val="0"/>
            </w:rPr>
            <w:t xml:space="preserve">Facturation </w:t>
          </w:r>
          <w:r w:rsidR="00D03997">
            <w:rPr>
              <w:b w:val="0"/>
            </w:rPr>
            <w:t xml:space="preserve">et encaissement </w:t>
          </w:r>
          <w:r>
            <w:rPr>
              <w:b w:val="0"/>
            </w:rPr>
            <w:t xml:space="preserve">des </w:t>
          </w:r>
          <w:r w:rsidR="00772D71">
            <w:rPr>
              <w:b w:val="0"/>
            </w:rPr>
            <w:t>patients</w:t>
          </w:r>
          <w:r w:rsidR="00967043">
            <w:rPr>
              <w:b w:val="0"/>
            </w:rPr>
            <w:t xml:space="preserve"> avec PEC</w:t>
          </w:r>
          <w:r w:rsidR="00AA01C0">
            <w:rPr>
              <w:b w:val="0"/>
            </w:rPr>
            <w:t xml:space="preserve"> - Ambulatoire</w:t>
          </w:r>
        </w:p>
      </w:tc>
      <w:tc>
        <w:tcPr>
          <w:tcW w:w="2408" w:type="dxa"/>
          <w:vAlign w:val="center"/>
        </w:tcPr>
        <w:p w:rsidR="00F748B4" w:rsidRPr="00B069CF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C05C48">
            <w:rPr>
              <w:b w:val="0"/>
            </w:rPr>
            <w:t xml:space="preserve"> </w:t>
          </w:r>
          <w:r w:rsidR="00F748B4">
            <w:rPr>
              <w:b w:val="0"/>
            </w:rPr>
            <w:t>2</w:t>
          </w:r>
          <w:r w:rsidR="000908AC">
            <w:rPr>
              <w:b w:val="0"/>
            </w:rPr>
            <w:t>9</w:t>
          </w:r>
          <w:r w:rsidR="00F748B4">
            <w:rPr>
              <w:b w:val="0"/>
            </w:rPr>
            <w:t>/03/2018</w:t>
          </w:r>
        </w:p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967043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4E53D70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F2F29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9771C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9" w15:restartNumberingAfterBreak="0">
    <w:nsid w:val="5E3C6975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64B9B"/>
    <w:multiLevelType w:val="hybridMultilevel"/>
    <w:tmpl w:val="8EFCDA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9D5C1F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12"/>
  </w:num>
  <w:num w:numId="7">
    <w:abstractNumId w:val="11"/>
  </w:num>
  <w:num w:numId="8">
    <w:abstractNumId w:val="5"/>
  </w:num>
  <w:num w:numId="9">
    <w:abstractNumId w:val="13"/>
  </w:num>
  <w:num w:numId="10">
    <w:abstractNumId w:val="2"/>
  </w:num>
  <w:num w:numId="11">
    <w:abstractNumId w:val="9"/>
  </w:num>
  <w:num w:numId="12">
    <w:abstractNumId w:val="6"/>
  </w:num>
  <w:num w:numId="1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4223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08AC"/>
    <w:rsid w:val="00096512"/>
    <w:rsid w:val="000A2D5F"/>
    <w:rsid w:val="000A7C99"/>
    <w:rsid w:val="000B1ABD"/>
    <w:rsid w:val="000C255A"/>
    <w:rsid w:val="000C7BA0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A7BE4"/>
    <w:rsid w:val="001B0F13"/>
    <w:rsid w:val="001C39F3"/>
    <w:rsid w:val="001C47BE"/>
    <w:rsid w:val="001C4FE5"/>
    <w:rsid w:val="001C5B34"/>
    <w:rsid w:val="001D3A82"/>
    <w:rsid w:val="001D50F1"/>
    <w:rsid w:val="001E004C"/>
    <w:rsid w:val="001E1E28"/>
    <w:rsid w:val="001E2EF9"/>
    <w:rsid w:val="001E48B2"/>
    <w:rsid w:val="001E63FC"/>
    <w:rsid w:val="001F0BEC"/>
    <w:rsid w:val="001F1BEB"/>
    <w:rsid w:val="0020414D"/>
    <w:rsid w:val="00205C90"/>
    <w:rsid w:val="0020741C"/>
    <w:rsid w:val="00212535"/>
    <w:rsid w:val="002228E8"/>
    <w:rsid w:val="002246CC"/>
    <w:rsid w:val="00225B26"/>
    <w:rsid w:val="002346CE"/>
    <w:rsid w:val="00243FDA"/>
    <w:rsid w:val="002441FB"/>
    <w:rsid w:val="00244C88"/>
    <w:rsid w:val="00247700"/>
    <w:rsid w:val="00251592"/>
    <w:rsid w:val="002524F3"/>
    <w:rsid w:val="002566E7"/>
    <w:rsid w:val="00261961"/>
    <w:rsid w:val="002639BE"/>
    <w:rsid w:val="00271B11"/>
    <w:rsid w:val="00282DCC"/>
    <w:rsid w:val="00287971"/>
    <w:rsid w:val="00290874"/>
    <w:rsid w:val="00294F10"/>
    <w:rsid w:val="00296BAA"/>
    <w:rsid w:val="002A34C5"/>
    <w:rsid w:val="002A5D28"/>
    <w:rsid w:val="002A751B"/>
    <w:rsid w:val="002B0488"/>
    <w:rsid w:val="002B55BE"/>
    <w:rsid w:val="002B6D34"/>
    <w:rsid w:val="002B72EA"/>
    <w:rsid w:val="002B73B7"/>
    <w:rsid w:val="002C2BAB"/>
    <w:rsid w:val="002C3DEA"/>
    <w:rsid w:val="002C5C9F"/>
    <w:rsid w:val="002C6268"/>
    <w:rsid w:val="002D005A"/>
    <w:rsid w:val="002D2123"/>
    <w:rsid w:val="002E1A2B"/>
    <w:rsid w:val="002E4F9D"/>
    <w:rsid w:val="002E73BB"/>
    <w:rsid w:val="002F2E57"/>
    <w:rsid w:val="002F38C4"/>
    <w:rsid w:val="002F51A8"/>
    <w:rsid w:val="002F6F27"/>
    <w:rsid w:val="003002A4"/>
    <w:rsid w:val="00302323"/>
    <w:rsid w:val="00302F22"/>
    <w:rsid w:val="0030384A"/>
    <w:rsid w:val="00303EE4"/>
    <w:rsid w:val="00303F5B"/>
    <w:rsid w:val="00310B11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94E"/>
    <w:rsid w:val="003D4CFC"/>
    <w:rsid w:val="003D64AC"/>
    <w:rsid w:val="003E07D3"/>
    <w:rsid w:val="003E3765"/>
    <w:rsid w:val="003F2AB5"/>
    <w:rsid w:val="004004AD"/>
    <w:rsid w:val="004027D6"/>
    <w:rsid w:val="00404B31"/>
    <w:rsid w:val="00410AEF"/>
    <w:rsid w:val="0041144C"/>
    <w:rsid w:val="00412A4D"/>
    <w:rsid w:val="00412D38"/>
    <w:rsid w:val="00413860"/>
    <w:rsid w:val="0042184A"/>
    <w:rsid w:val="004225D9"/>
    <w:rsid w:val="004259B6"/>
    <w:rsid w:val="00431085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67B3B"/>
    <w:rsid w:val="004708F2"/>
    <w:rsid w:val="00471351"/>
    <w:rsid w:val="00480885"/>
    <w:rsid w:val="00482717"/>
    <w:rsid w:val="004828D3"/>
    <w:rsid w:val="00494DFC"/>
    <w:rsid w:val="004A0194"/>
    <w:rsid w:val="004A0540"/>
    <w:rsid w:val="004B12FD"/>
    <w:rsid w:val="004B2D4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1BD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0F9D"/>
    <w:rsid w:val="00601678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C0C59"/>
    <w:rsid w:val="006C4450"/>
    <w:rsid w:val="006C54FD"/>
    <w:rsid w:val="006D0200"/>
    <w:rsid w:val="006D0422"/>
    <w:rsid w:val="006D082A"/>
    <w:rsid w:val="006D1940"/>
    <w:rsid w:val="006D6912"/>
    <w:rsid w:val="006D6D63"/>
    <w:rsid w:val="006E1385"/>
    <w:rsid w:val="006F2189"/>
    <w:rsid w:val="007036A0"/>
    <w:rsid w:val="00705EAE"/>
    <w:rsid w:val="00713A65"/>
    <w:rsid w:val="00714A55"/>
    <w:rsid w:val="00716945"/>
    <w:rsid w:val="00724099"/>
    <w:rsid w:val="007258BE"/>
    <w:rsid w:val="007258C6"/>
    <w:rsid w:val="00726EAD"/>
    <w:rsid w:val="00734ACF"/>
    <w:rsid w:val="007640F6"/>
    <w:rsid w:val="0077174A"/>
    <w:rsid w:val="00771880"/>
    <w:rsid w:val="00772D71"/>
    <w:rsid w:val="00774FC9"/>
    <w:rsid w:val="00775443"/>
    <w:rsid w:val="00775643"/>
    <w:rsid w:val="0078003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7B12"/>
    <w:rsid w:val="00867CF6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02A"/>
    <w:rsid w:val="009502A9"/>
    <w:rsid w:val="00950363"/>
    <w:rsid w:val="00952818"/>
    <w:rsid w:val="0095652F"/>
    <w:rsid w:val="009622B1"/>
    <w:rsid w:val="0096291B"/>
    <w:rsid w:val="00966AB4"/>
    <w:rsid w:val="00967043"/>
    <w:rsid w:val="00971FB2"/>
    <w:rsid w:val="00973446"/>
    <w:rsid w:val="00974F19"/>
    <w:rsid w:val="0097554E"/>
    <w:rsid w:val="00976D1D"/>
    <w:rsid w:val="00984064"/>
    <w:rsid w:val="00991F89"/>
    <w:rsid w:val="009A0DEB"/>
    <w:rsid w:val="009A1376"/>
    <w:rsid w:val="009A15FE"/>
    <w:rsid w:val="009A1EAA"/>
    <w:rsid w:val="009A5C21"/>
    <w:rsid w:val="009B1A08"/>
    <w:rsid w:val="009B1AA1"/>
    <w:rsid w:val="009C651B"/>
    <w:rsid w:val="009C76EF"/>
    <w:rsid w:val="009D064E"/>
    <w:rsid w:val="009D6294"/>
    <w:rsid w:val="009E1298"/>
    <w:rsid w:val="009E24B7"/>
    <w:rsid w:val="009E326A"/>
    <w:rsid w:val="009E3578"/>
    <w:rsid w:val="009E5EFB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230F"/>
    <w:rsid w:val="00A44894"/>
    <w:rsid w:val="00A466A2"/>
    <w:rsid w:val="00A4732F"/>
    <w:rsid w:val="00A47918"/>
    <w:rsid w:val="00A50F72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01C0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1679"/>
    <w:rsid w:val="00AF58C5"/>
    <w:rsid w:val="00AF5A09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0605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1791"/>
    <w:rsid w:val="00C346AE"/>
    <w:rsid w:val="00C5366D"/>
    <w:rsid w:val="00C62D21"/>
    <w:rsid w:val="00C63CE7"/>
    <w:rsid w:val="00C65244"/>
    <w:rsid w:val="00C702F6"/>
    <w:rsid w:val="00C73A86"/>
    <w:rsid w:val="00C73B4A"/>
    <w:rsid w:val="00C76996"/>
    <w:rsid w:val="00C814C2"/>
    <w:rsid w:val="00C82616"/>
    <w:rsid w:val="00C83019"/>
    <w:rsid w:val="00C9005B"/>
    <w:rsid w:val="00C91008"/>
    <w:rsid w:val="00C9374F"/>
    <w:rsid w:val="00CA1C8E"/>
    <w:rsid w:val="00CB1EA3"/>
    <w:rsid w:val="00CB5C0F"/>
    <w:rsid w:val="00CB65D7"/>
    <w:rsid w:val="00CC0C13"/>
    <w:rsid w:val="00CC171A"/>
    <w:rsid w:val="00CD39CE"/>
    <w:rsid w:val="00CE72FD"/>
    <w:rsid w:val="00CE7AEC"/>
    <w:rsid w:val="00CF1305"/>
    <w:rsid w:val="00CF65D0"/>
    <w:rsid w:val="00CF7EE2"/>
    <w:rsid w:val="00D01940"/>
    <w:rsid w:val="00D030EF"/>
    <w:rsid w:val="00D03997"/>
    <w:rsid w:val="00D11337"/>
    <w:rsid w:val="00D11A94"/>
    <w:rsid w:val="00D13D62"/>
    <w:rsid w:val="00D14BAD"/>
    <w:rsid w:val="00D1758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180A"/>
    <w:rsid w:val="00D9364D"/>
    <w:rsid w:val="00D94675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67F4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2D99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31EE"/>
    <w:rsid w:val="00EF7581"/>
    <w:rsid w:val="00F02A6F"/>
    <w:rsid w:val="00F05582"/>
    <w:rsid w:val="00F05CFE"/>
    <w:rsid w:val="00F10E0B"/>
    <w:rsid w:val="00F1328F"/>
    <w:rsid w:val="00F14002"/>
    <w:rsid w:val="00F14C59"/>
    <w:rsid w:val="00F3165F"/>
    <w:rsid w:val="00F34BDB"/>
    <w:rsid w:val="00F43399"/>
    <w:rsid w:val="00F458B7"/>
    <w:rsid w:val="00F46159"/>
    <w:rsid w:val="00F46317"/>
    <w:rsid w:val="00F507CA"/>
    <w:rsid w:val="00F53693"/>
    <w:rsid w:val="00F53736"/>
    <w:rsid w:val="00F579B5"/>
    <w:rsid w:val="00F6063F"/>
    <w:rsid w:val="00F60A8F"/>
    <w:rsid w:val="00F65A73"/>
    <w:rsid w:val="00F67617"/>
    <w:rsid w:val="00F67C4C"/>
    <w:rsid w:val="00F748B4"/>
    <w:rsid w:val="00F75557"/>
    <w:rsid w:val="00F77FC2"/>
    <w:rsid w:val="00F810F6"/>
    <w:rsid w:val="00F84165"/>
    <w:rsid w:val="00F84BCB"/>
    <w:rsid w:val="00F86BC9"/>
    <w:rsid w:val="00F87649"/>
    <w:rsid w:val="00F9133D"/>
    <w:rsid w:val="00F9303C"/>
    <w:rsid w:val="00F96D1B"/>
    <w:rsid w:val="00FA3AC3"/>
    <w:rsid w:val="00FA763B"/>
    <w:rsid w:val="00FB308F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  <w:rsid w:val="00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C8701"/>
  <w15:docId w15:val="{8199C9AC-52E2-48D3-A6CA-5A219499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auGrille1Clair-Accentuation41">
    <w:name w:val="Tableau Grille 1 Clair - Accentuation 41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customStyle="1" w:styleId="Grilledetableauclaire1">
    <w:name w:val="Grille de tableau claire1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9405B-837E-41C2-8C0E-50DDD7E1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Lauriane</dc:creator>
  <cp:lastModifiedBy>Lauriane</cp:lastModifiedBy>
  <cp:revision>12</cp:revision>
  <cp:lastPrinted>2017-02-14T16:34:00Z</cp:lastPrinted>
  <dcterms:created xsi:type="dcterms:W3CDTF">2018-03-27T17:06:00Z</dcterms:created>
  <dcterms:modified xsi:type="dcterms:W3CDTF">2019-11-05T19:04:00Z</dcterms:modified>
</cp:coreProperties>
</file>