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26A" w:rsidRPr="00C76996" w:rsidRDefault="00C76996" w:rsidP="00E00636">
      <w:pPr>
        <w:pStyle w:val="Titre1"/>
      </w:pPr>
      <w:r>
        <w:t>Objet</w:t>
      </w:r>
    </w:p>
    <w:p w:rsidR="00E666D8" w:rsidRPr="00AD49A1" w:rsidRDefault="002639BE" w:rsidP="00E00636">
      <w:r>
        <w:t>Ce</w:t>
      </w:r>
      <w:r w:rsidR="001629BA" w:rsidRPr="00061FC2">
        <w:t xml:space="preserve"> </w:t>
      </w:r>
      <w:r w:rsidR="001629BA">
        <w:t>mode opératoire</w:t>
      </w:r>
      <w:r w:rsidR="001629BA" w:rsidRPr="00061FC2">
        <w:t xml:space="preserve"> a pour objet de décrire les dispositions </w:t>
      </w:r>
      <w:r w:rsidR="00EA2059">
        <w:t xml:space="preserve">de la réception et de la transmission des documents comptables Factures Fournisseurs issues de l’achat de biens et/ou services engagés par NEST. </w:t>
      </w:r>
      <w:r w:rsidR="001629BA">
        <w:t>Il</w:t>
      </w:r>
      <w:r w:rsidR="00EA2059">
        <w:t xml:space="preserve"> vise à assurer la disponibilité et la fiabilité de l’information comptable.</w:t>
      </w:r>
    </w:p>
    <w:p w:rsidR="00C76996" w:rsidRPr="007C0048" w:rsidRDefault="00C76996" w:rsidP="007C0048">
      <w:pPr>
        <w:pStyle w:val="Titre1"/>
      </w:pPr>
      <w:r w:rsidRPr="007C0048">
        <w:t>Domaine d’application</w:t>
      </w:r>
    </w:p>
    <w:p w:rsidR="000A7C99" w:rsidRPr="00AD49A1" w:rsidRDefault="00C76996" w:rsidP="00E00636">
      <w:r w:rsidRPr="00CB5C0F">
        <w:t xml:space="preserve"> </w:t>
      </w:r>
      <w:r w:rsidR="00E666D8">
        <w:t>Ce présent mode opératoire</w:t>
      </w:r>
      <w:r w:rsidR="00CB5C0F">
        <w:t xml:space="preserve"> s’applique à</w:t>
      </w:r>
      <w:r w:rsidR="00E666D8">
        <w:t xml:space="preserve"> </w:t>
      </w:r>
      <w:r w:rsidR="00204C7C">
        <w:t>la direction des achats et à la comptabilité de NEST.</w:t>
      </w:r>
    </w:p>
    <w:p w:rsidR="009E326A" w:rsidRPr="00056F96" w:rsidRDefault="00CB5C0F" w:rsidP="007C0048">
      <w:pPr>
        <w:pStyle w:val="Titre1"/>
      </w:pPr>
      <w:r>
        <w:t>Responsabilité</w:t>
      </w:r>
    </w:p>
    <w:p w:rsidR="00EC1513" w:rsidRPr="00AD49A1" w:rsidRDefault="00845E79" w:rsidP="00E00636">
      <w:r>
        <w:t xml:space="preserve">Le pilote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de </w:t>
      </w:r>
      <w:r w:rsidR="002A34C5">
        <w:t>ce mode opératoire</w:t>
      </w:r>
      <w:r w:rsidR="00E91722">
        <w:t>.</w:t>
      </w:r>
    </w:p>
    <w:p w:rsidR="009E326A" w:rsidRPr="00BC7F09" w:rsidRDefault="00D23A42" w:rsidP="00692DFA">
      <w:pPr>
        <w:pStyle w:val="Titre1"/>
      </w:pPr>
      <w:r>
        <w:t>Description du mode opératoire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9E326A" w:rsidRPr="001F3F6E" w:rsidTr="005B18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9E326A" w:rsidRPr="008E6379" w:rsidRDefault="009E326A" w:rsidP="00692DFA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:rsidR="009E326A" w:rsidRPr="008E6379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:rsidR="009E326A" w:rsidRPr="008E6379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9E326A" w:rsidRPr="001F3F6E" w:rsidTr="006F762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9E326A" w:rsidRPr="006123C2" w:rsidRDefault="00505D7E" w:rsidP="006123C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Service demandeur</w:t>
            </w:r>
          </w:p>
        </w:tc>
        <w:tc>
          <w:tcPr>
            <w:tcW w:w="3685" w:type="dxa"/>
            <w:vAlign w:val="center"/>
          </w:tcPr>
          <w:p w:rsidR="009E326A" w:rsidRPr="00E00636" w:rsidRDefault="00D97BF0" w:rsidP="006F762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636">
              <w:t>Reçoit</w:t>
            </w:r>
            <w:r w:rsidR="00845E79" w:rsidRPr="00E00636">
              <w:t xml:space="preserve"> des différents services les requêtes pour l’achat de matériels, mobiliers, réparations et autres.</w:t>
            </w:r>
          </w:p>
        </w:tc>
        <w:tc>
          <w:tcPr>
            <w:tcW w:w="3686" w:type="dxa"/>
            <w:vAlign w:val="center"/>
          </w:tcPr>
          <w:p w:rsidR="009E326A" w:rsidRPr="00E00636" w:rsidRDefault="00845E79" w:rsidP="006F762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636">
              <w:t>La fiche d’expression des besoins et les fiches d’incident en sont les supports.</w:t>
            </w:r>
          </w:p>
        </w:tc>
      </w:tr>
      <w:tr w:rsidR="009E326A" w:rsidRPr="001F3F6E" w:rsidTr="006F762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9E326A" w:rsidRPr="006123C2" w:rsidRDefault="00505D7E" w:rsidP="006123C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site</w:t>
            </w:r>
          </w:p>
        </w:tc>
        <w:tc>
          <w:tcPr>
            <w:tcW w:w="3685" w:type="dxa"/>
            <w:vAlign w:val="center"/>
          </w:tcPr>
          <w:p w:rsidR="009E326A" w:rsidRPr="00E00636" w:rsidRDefault="00845E79" w:rsidP="006F762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636">
              <w:t>Contacte les fournisseurs concer</w:t>
            </w:r>
            <w:r w:rsidR="002F67F5" w:rsidRPr="00E00636">
              <w:t>nés par la nature de l’achat et s’informe de la disponibilité du produit et des prix</w:t>
            </w:r>
          </w:p>
        </w:tc>
        <w:tc>
          <w:tcPr>
            <w:tcW w:w="3686" w:type="dxa"/>
            <w:vAlign w:val="center"/>
          </w:tcPr>
          <w:p w:rsidR="009E326A" w:rsidRPr="00E00636" w:rsidRDefault="00845E79" w:rsidP="006F762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636">
              <w:t>Cf procédure de commande, d’agrément et d’évaluation des fournisseurs</w:t>
            </w:r>
          </w:p>
        </w:tc>
      </w:tr>
      <w:tr w:rsidR="009E326A" w:rsidRPr="001F3F6E" w:rsidTr="006F762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9E326A" w:rsidRPr="006123C2" w:rsidRDefault="00505D7E" w:rsidP="006123C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site</w:t>
            </w:r>
          </w:p>
        </w:tc>
        <w:tc>
          <w:tcPr>
            <w:tcW w:w="3685" w:type="dxa"/>
            <w:vAlign w:val="center"/>
          </w:tcPr>
          <w:p w:rsidR="009E326A" w:rsidRPr="00E00636" w:rsidRDefault="00505D7E" w:rsidP="00D97BF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Après validation c</w:t>
            </w:r>
            <w:r w:rsidR="0002134B" w:rsidRPr="00E00636">
              <w:t xml:space="preserve">entralise toutes les commandes et pour </w:t>
            </w:r>
            <w:r w:rsidR="00C618ED" w:rsidRPr="00E00636">
              <w:t>chacune :</w:t>
            </w:r>
          </w:p>
          <w:p w:rsidR="00C618ED" w:rsidRPr="00E00636" w:rsidRDefault="00C618ED" w:rsidP="006F7621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636">
              <w:t>Demande une facture Pro Forma au fournisseur selon le cas</w:t>
            </w:r>
          </w:p>
          <w:p w:rsidR="00C618ED" w:rsidRPr="00E00636" w:rsidRDefault="00C618ED" w:rsidP="006F7621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636">
              <w:t>Etablit le bon de commande interne</w:t>
            </w:r>
          </w:p>
        </w:tc>
        <w:tc>
          <w:tcPr>
            <w:tcW w:w="3686" w:type="dxa"/>
            <w:vAlign w:val="center"/>
          </w:tcPr>
          <w:p w:rsidR="00C417AE" w:rsidRPr="00E00636" w:rsidRDefault="00C417AE" w:rsidP="006F762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636">
              <w:t>Tous les fournisseurs seront informés et sensibilisés sur la qualité des documents qu’ils nous envoient.</w:t>
            </w:r>
          </w:p>
          <w:p w:rsidR="009E326A" w:rsidRPr="00E00636" w:rsidRDefault="009E326A" w:rsidP="006F762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648B" w:rsidRPr="001F3F6E" w:rsidTr="006F762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23648B" w:rsidRPr="006123C2" w:rsidRDefault="00505D7E" w:rsidP="006123C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site</w:t>
            </w:r>
          </w:p>
        </w:tc>
        <w:tc>
          <w:tcPr>
            <w:tcW w:w="3685" w:type="dxa"/>
            <w:vAlign w:val="center"/>
          </w:tcPr>
          <w:p w:rsidR="0002134B" w:rsidRPr="00E00636" w:rsidRDefault="002F67F5" w:rsidP="002F6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00636">
              <w:t>Envoie les documents (</w:t>
            </w:r>
            <w:r w:rsidR="0089370A" w:rsidRPr="00E00636">
              <w:t xml:space="preserve">fiche d’expression des besoins, </w:t>
            </w:r>
            <w:r w:rsidRPr="00E00636">
              <w:t xml:space="preserve">pro-forma et bon de commande) </w:t>
            </w:r>
            <w:r w:rsidR="0023648B" w:rsidRPr="00E00636">
              <w:t>à la comptabilité</w:t>
            </w:r>
          </w:p>
        </w:tc>
        <w:tc>
          <w:tcPr>
            <w:tcW w:w="3686" w:type="dxa"/>
            <w:vAlign w:val="center"/>
          </w:tcPr>
          <w:p w:rsidR="0023648B" w:rsidRPr="00E00636" w:rsidRDefault="009F09CD" w:rsidP="006F762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636">
              <w:t>Selon l’urgence de la requête, l’envoi peut se faire par email (avec les documents scannés) ou par coursier (avec les documents originaux)</w:t>
            </w:r>
            <w:r w:rsidR="00C417AE" w:rsidRPr="00E00636">
              <w:t>. Po</w:t>
            </w:r>
            <w:r w:rsidR="00505D7E">
              <w:t>ur les envois par email, le responsable site</w:t>
            </w:r>
            <w:r w:rsidR="00C417AE" w:rsidRPr="00E00636">
              <w:t xml:space="preserve"> doit toujours être en copie.</w:t>
            </w:r>
          </w:p>
          <w:p w:rsidR="00C417AE" w:rsidRPr="00E00636" w:rsidRDefault="00C417AE" w:rsidP="006F762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636">
              <w:rPr>
                <w:b/>
              </w:rPr>
              <w:t>Toutes les factures reçues des fournisseurs (</w:t>
            </w:r>
            <w:r w:rsidRPr="00E00636">
              <w:t>clinique et plateau</w:t>
            </w:r>
            <w:r w:rsidRPr="00E00636">
              <w:rPr>
                <w:b/>
              </w:rPr>
              <w:t>) sont à transmettre immédiatement à la Comptabilité.</w:t>
            </w:r>
          </w:p>
        </w:tc>
      </w:tr>
      <w:tr w:rsidR="009F09CD" w:rsidRPr="001F3F6E" w:rsidTr="006F762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9F09CD" w:rsidRDefault="009F09CD" w:rsidP="006123C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Comptable</w:t>
            </w:r>
          </w:p>
        </w:tc>
        <w:tc>
          <w:tcPr>
            <w:tcW w:w="3685" w:type="dxa"/>
            <w:vAlign w:val="center"/>
          </w:tcPr>
          <w:p w:rsidR="009F09CD" w:rsidRDefault="00F56B7C" w:rsidP="006F7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Reçoit</w:t>
            </w:r>
            <w:r w:rsidR="009C47B5">
              <w:t xml:space="preserve"> la facture</w:t>
            </w:r>
            <w:r>
              <w:t xml:space="preserve">, le BL </w:t>
            </w:r>
            <w:r w:rsidR="009C47B5">
              <w:t xml:space="preserve"> et effectue</w:t>
            </w:r>
            <w:r w:rsidR="009F09CD">
              <w:t xml:space="preserve"> le traitement approprié en :</w:t>
            </w:r>
          </w:p>
          <w:p w:rsidR="009F09CD" w:rsidRDefault="009F09CD" w:rsidP="006F7621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Vérifiant la conformité des documents et des montants,</w:t>
            </w:r>
          </w:p>
          <w:p w:rsidR="009F09CD" w:rsidRDefault="009F09CD" w:rsidP="006F7621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Enregistrant la facture dans Odoo ou dans le fichier de suivi (selon l’urgence)</w:t>
            </w:r>
          </w:p>
          <w:p w:rsidR="009F09CD" w:rsidRDefault="009F09CD" w:rsidP="006F7621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Transmets </w:t>
            </w:r>
            <w:r w:rsidR="00710AE3">
              <w:t>la liasse à la trésorière</w:t>
            </w:r>
            <w:r>
              <w:t xml:space="preserve"> pour paiement</w:t>
            </w:r>
          </w:p>
        </w:tc>
        <w:tc>
          <w:tcPr>
            <w:tcW w:w="3686" w:type="dxa"/>
            <w:vAlign w:val="center"/>
          </w:tcPr>
          <w:p w:rsidR="009F09CD" w:rsidRDefault="002F67F5" w:rsidP="006F762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  <w:r w:rsidR="00710AE3">
              <w:t>n cas de refus, notifie le responsable de site</w:t>
            </w:r>
            <w:r>
              <w:t xml:space="preserve"> en précisant les motifs.</w:t>
            </w:r>
          </w:p>
        </w:tc>
      </w:tr>
      <w:tr w:rsidR="00C94AC4" w:rsidRPr="001F3F6E" w:rsidTr="006F762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C94AC4" w:rsidRDefault="00710AE3" w:rsidP="006123C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Trésorière / RAC</w:t>
            </w:r>
          </w:p>
        </w:tc>
        <w:tc>
          <w:tcPr>
            <w:tcW w:w="3685" w:type="dxa"/>
            <w:vAlign w:val="center"/>
          </w:tcPr>
          <w:p w:rsidR="00C94AC4" w:rsidRDefault="00C94AC4" w:rsidP="006F76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Etablie le règlement et transmet :</w:t>
            </w:r>
          </w:p>
          <w:p w:rsidR="00C94AC4" w:rsidRDefault="00710AE3" w:rsidP="006F7621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 trésorière transmet la liasse à payer à la RAC</w:t>
            </w:r>
          </w:p>
          <w:p w:rsidR="00710AE3" w:rsidRDefault="00710AE3" w:rsidP="006F7621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 RAC émet le chèque et le fait signer suivant le plan de trésorerie</w:t>
            </w:r>
          </w:p>
          <w:p w:rsidR="00C94AC4" w:rsidRDefault="00710AE3" w:rsidP="006F7621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3686" w:type="dxa"/>
            <w:vAlign w:val="center"/>
          </w:tcPr>
          <w:p w:rsidR="00C94AC4" w:rsidRDefault="00C94AC4" w:rsidP="006F762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4AC4" w:rsidRPr="001F3F6E" w:rsidTr="006F762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C94AC4" w:rsidRDefault="00710AE3" w:rsidP="006123C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Trésorière</w:t>
            </w:r>
          </w:p>
        </w:tc>
        <w:tc>
          <w:tcPr>
            <w:tcW w:w="3685" w:type="dxa"/>
            <w:vAlign w:val="center"/>
          </w:tcPr>
          <w:p w:rsidR="00710AE3" w:rsidRDefault="00710AE3" w:rsidP="00710AE3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chèque signé sera remis à la trésorière qui se chargera de la transmission avec le service courrier</w:t>
            </w:r>
          </w:p>
          <w:p w:rsidR="00C94AC4" w:rsidRDefault="00710AE3" w:rsidP="00710AE3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 copie du chèque déchargé avec les documents supports sont transmis à la comptabilité pour enregistrement</w:t>
            </w:r>
          </w:p>
        </w:tc>
        <w:tc>
          <w:tcPr>
            <w:tcW w:w="3686" w:type="dxa"/>
            <w:vAlign w:val="center"/>
          </w:tcPr>
          <w:p w:rsidR="00C94AC4" w:rsidRDefault="00C94AC4" w:rsidP="006F762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5C07" w:rsidRPr="001F3F6E" w:rsidTr="006F762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5F5C07" w:rsidRDefault="005F5C07" w:rsidP="006123C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Comptabilité</w:t>
            </w:r>
          </w:p>
        </w:tc>
        <w:tc>
          <w:tcPr>
            <w:tcW w:w="3685" w:type="dxa"/>
            <w:vAlign w:val="center"/>
          </w:tcPr>
          <w:p w:rsidR="005F5C07" w:rsidRDefault="00710AE3" w:rsidP="006F7621">
            <w:pPr>
              <w:spacing w:before="0" w:after="180" w:line="264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Tous les documents reçus sont </w:t>
            </w:r>
            <w:r w:rsidR="00991599">
              <w:t>comptabilisés dans Odoo et classés</w:t>
            </w:r>
            <w:bookmarkStart w:id="1" w:name="_GoBack"/>
            <w:bookmarkEnd w:id="1"/>
          </w:p>
        </w:tc>
        <w:tc>
          <w:tcPr>
            <w:tcW w:w="3686" w:type="dxa"/>
            <w:vAlign w:val="center"/>
          </w:tcPr>
          <w:p w:rsidR="005F5C07" w:rsidRDefault="005F5C07" w:rsidP="006F762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2F6F27" w:rsidRPr="004C78BC" w:rsidRDefault="002F6F27" w:rsidP="006F7621">
      <w:pPr>
        <w:ind w:firstLine="0"/>
      </w:pPr>
    </w:p>
    <w:sectPr w:rsidR="002F6F27" w:rsidRPr="004C78BC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141" w:rsidRDefault="00757141" w:rsidP="00B069CF">
      <w:r>
        <w:separator/>
      </w:r>
    </w:p>
    <w:p w:rsidR="00757141" w:rsidRDefault="00757141" w:rsidP="00B069CF"/>
    <w:p w:rsidR="00757141" w:rsidRDefault="00757141" w:rsidP="00B069CF"/>
    <w:p w:rsidR="00757141" w:rsidRDefault="00757141" w:rsidP="00B069CF"/>
  </w:endnote>
  <w:endnote w:type="continuationSeparator" w:id="0">
    <w:p w:rsidR="00757141" w:rsidRDefault="00757141" w:rsidP="00B069CF">
      <w:r>
        <w:continuationSeparator/>
      </w:r>
    </w:p>
    <w:p w:rsidR="00757141" w:rsidRDefault="00757141" w:rsidP="00B069CF"/>
    <w:p w:rsidR="00757141" w:rsidRDefault="00757141" w:rsidP="00B069CF"/>
    <w:p w:rsidR="00757141" w:rsidRDefault="00757141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141" w:rsidRDefault="00757141" w:rsidP="00B069CF">
      <w:bookmarkStart w:id="0" w:name="_Hlk480555709"/>
      <w:bookmarkEnd w:id="0"/>
      <w:r>
        <w:separator/>
      </w:r>
    </w:p>
    <w:p w:rsidR="00757141" w:rsidRDefault="00757141" w:rsidP="00B069CF"/>
    <w:p w:rsidR="00757141" w:rsidRDefault="00757141" w:rsidP="00B069CF"/>
    <w:p w:rsidR="00757141" w:rsidRDefault="00757141" w:rsidP="00B069CF"/>
  </w:footnote>
  <w:footnote w:type="continuationSeparator" w:id="0">
    <w:p w:rsidR="00757141" w:rsidRDefault="00757141" w:rsidP="00B069CF">
      <w:r>
        <w:continuationSeparator/>
      </w:r>
    </w:p>
    <w:p w:rsidR="00757141" w:rsidRDefault="00757141" w:rsidP="00B069CF"/>
    <w:p w:rsidR="00757141" w:rsidRDefault="00757141" w:rsidP="00B069CF"/>
    <w:p w:rsidR="00757141" w:rsidRDefault="00757141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590"/>
      <w:gridCol w:w="2227"/>
    </w:tblGrid>
    <w:tr w:rsidR="0087048A" w:rsidRPr="00AD49A1" w:rsidTr="0013062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68" w:type="dxa"/>
          <w:vAlign w:val="center"/>
        </w:tcPr>
        <w:p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val="en-US"/>
            </w:rPr>
            <w:drawing>
              <wp:inline distT="0" distB="0" distL="0" distR="0" wp14:anchorId="43B5E277" wp14:editId="33BDCCAB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1" w:type="dxa"/>
          <w:vAlign w:val="center"/>
        </w:tcPr>
        <w:p w:rsidR="0087048A" w:rsidRPr="00B069CF" w:rsidRDefault="001306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:rsidR="00130623" w:rsidRPr="00130623" w:rsidRDefault="007B7139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Réception et transmission des factures fournisseurs</w:t>
          </w:r>
        </w:p>
      </w:tc>
      <w:tc>
        <w:tcPr>
          <w:tcW w:w="2268" w:type="dxa"/>
          <w:vAlign w:val="center"/>
        </w:tcPr>
        <w:p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991599">
            <w:rPr>
              <w:b w:val="0"/>
              <w:noProof/>
            </w:rPr>
            <w:t>2</w:t>
          </w:r>
          <w:r w:rsidRPr="00B069CF">
            <w:fldChar w:fldCharType="end"/>
          </w:r>
        </w:p>
      </w:tc>
    </w:tr>
  </w:tbl>
  <w:p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B142AA"/>
    <w:multiLevelType w:val="hybridMultilevel"/>
    <w:tmpl w:val="CAE8E2E0"/>
    <w:lvl w:ilvl="0" w:tplc="D5DACC5E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21A7365"/>
    <w:multiLevelType w:val="hybridMultilevel"/>
    <w:tmpl w:val="F336070A"/>
    <w:lvl w:ilvl="0" w:tplc="E8F2281A">
      <w:numFmt w:val="bullet"/>
      <w:lvlText w:val="-"/>
      <w:lvlJc w:val="left"/>
      <w:pPr>
        <w:ind w:left="720" w:hanging="360"/>
      </w:pPr>
      <w:rPr>
        <w:rFonts w:ascii="Tw Cen MT" w:eastAsiaTheme="minorHAnsi" w:hAnsi="Tw Cen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8" w15:restartNumberingAfterBreak="0">
    <w:nsid w:val="5F8418CF"/>
    <w:multiLevelType w:val="hybridMultilevel"/>
    <w:tmpl w:val="A20E7622"/>
    <w:lvl w:ilvl="0" w:tplc="6772D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79"/>
    <w:rsid w:val="000010BB"/>
    <w:rsid w:val="00006124"/>
    <w:rsid w:val="000124BF"/>
    <w:rsid w:val="00016994"/>
    <w:rsid w:val="0002134B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D1E4A"/>
    <w:rsid w:val="000E1225"/>
    <w:rsid w:val="000E6D6B"/>
    <w:rsid w:val="000F1A80"/>
    <w:rsid w:val="000F386D"/>
    <w:rsid w:val="000F64F0"/>
    <w:rsid w:val="00101A88"/>
    <w:rsid w:val="00103769"/>
    <w:rsid w:val="001066EF"/>
    <w:rsid w:val="001121B5"/>
    <w:rsid w:val="00115065"/>
    <w:rsid w:val="00125A63"/>
    <w:rsid w:val="00130623"/>
    <w:rsid w:val="00135180"/>
    <w:rsid w:val="001417B6"/>
    <w:rsid w:val="001471F7"/>
    <w:rsid w:val="00157D40"/>
    <w:rsid w:val="001629BA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20414D"/>
    <w:rsid w:val="00204C7C"/>
    <w:rsid w:val="00205C90"/>
    <w:rsid w:val="0020741C"/>
    <w:rsid w:val="002228E8"/>
    <w:rsid w:val="002246CC"/>
    <w:rsid w:val="00225B26"/>
    <w:rsid w:val="002270DD"/>
    <w:rsid w:val="002346CE"/>
    <w:rsid w:val="0023648B"/>
    <w:rsid w:val="002441FB"/>
    <w:rsid w:val="00244C88"/>
    <w:rsid w:val="00247700"/>
    <w:rsid w:val="002524F3"/>
    <w:rsid w:val="002566E7"/>
    <w:rsid w:val="00261961"/>
    <w:rsid w:val="00262E2B"/>
    <w:rsid w:val="002639BE"/>
    <w:rsid w:val="00271B11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F2E57"/>
    <w:rsid w:val="002F38C4"/>
    <w:rsid w:val="002F67F5"/>
    <w:rsid w:val="002F6F27"/>
    <w:rsid w:val="003002A4"/>
    <w:rsid w:val="00302F22"/>
    <w:rsid w:val="0030384A"/>
    <w:rsid w:val="00303EE4"/>
    <w:rsid w:val="00303F5B"/>
    <w:rsid w:val="0031370B"/>
    <w:rsid w:val="00313CF2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930F7"/>
    <w:rsid w:val="003A5FCB"/>
    <w:rsid w:val="003B3CF8"/>
    <w:rsid w:val="003B4A5D"/>
    <w:rsid w:val="003B7BFF"/>
    <w:rsid w:val="003C0ABB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82717"/>
    <w:rsid w:val="004828D3"/>
    <w:rsid w:val="004A0194"/>
    <w:rsid w:val="004B12FD"/>
    <w:rsid w:val="004B496E"/>
    <w:rsid w:val="004C0366"/>
    <w:rsid w:val="004C73C7"/>
    <w:rsid w:val="004C78BC"/>
    <w:rsid w:val="004E3069"/>
    <w:rsid w:val="004E7021"/>
    <w:rsid w:val="004F1222"/>
    <w:rsid w:val="004F725D"/>
    <w:rsid w:val="00505D7E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72BF7"/>
    <w:rsid w:val="00573061"/>
    <w:rsid w:val="005733AC"/>
    <w:rsid w:val="0058584B"/>
    <w:rsid w:val="00590686"/>
    <w:rsid w:val="00590EBC"/>
    <w:rsid w:val="00591167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2826"/>
    <w:rsid w:val="005E375C"/>
    <w:rsid w:val="005F105E"/>
    <w:rsid w:val="005F1179"/>
    <w:rsid w:val="005F1D2C"/>
    <w:rsid w:val="005F2EC5"/>
    <w:rsid w:val="005F4AA4"/>
    <w:rsid w:val="005F5C07"/>
    <w:rsid w:val="00600714"/>
    <w:rsid w:val="00602629"/>
    <w:rsid w:val="00603069"/>
    <w:rsid w:val="00610F43"/>
    <w:rsid w:val="006112E9"/>
    <w:rsid w:val="00611EEB"/>
    <w:rsid w:val="006123C2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6F7621"/>
    <w:rsid w:val="00705EAE"/>
    <w:rsid w:val="00710AE3"/>
    <w:rsid w:val="00713A65"/>
    <w:rsid w:val="00714A55"/>
    <w:rsid w:val="00716945"/>
    <w:rsid w:val="00724099"/>
    <w:rsid w:val="007258BE"/>
    <w:rsid w:val="00726EAD"/>
    <w:rsid w:val="00734ACF"/>
    <w:rsid w:val="0073790B"/>
    <w:rsid w:val="00757141"/>
    <w:rsid w:val="007640F6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74D5"/>
    <w:rsid w:val="007A613E"/>
    <w:rsid w:val="007A6A07"/>
    <w:rsid w:val="007B1CAB"/>
    <w:rsid w:val="007B41A4"/>
    <w:rsid w:val="007B7139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5E79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9370A"/>
    <w:rsid w:val="008A5391"/>
    <w:rsid w:val="008B055F"/>
    <w:rsid w:val="008B73E6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371FF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91599"/>
    <w:rsid w:val="009A1376"/>
    <w:rsid w:val="009A15FE"/>
    <w:rsid w:val="009A5C21"/>
    <w:rsid w:val="009B1A08"/>
    <w:rsid w:val="009B1AA1"/>
    <w:rsid w:val="009C47B5"/>
    <w:rsid w:val="009C651B"/>
    <w:rsid w:val="009C76EF"/>
    <w:rsid w:val="009D064E"/>
    <w:rsid w:val="009D6294"/>
    <w:rsid w:val="009E24B7"/>
    <w:rsid w:val="009E326A"/>
    <w:rsid w:val="009E3578"/>
    <w:rsid w:val="009F09CD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1BE8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27944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3D74"/>
    <w:rsid w:val="00C05141"/>
    <w:rsid w:val="00C075BA"/>
    <w:rsid w:val="00C13515"/>
    <w:rsid w:val="00C143C5"/>
    <w:rsid w:val="00C14A01"/>
    <w:rsid w:val="00C155A5"/>
    <w:rsid w:val="00C267B2"/>
    <w:rsid w:val="00C27C9C"/>
    <w:rsid w:val="00C417AE"/>
    <w:rsid w:val="00C47680"/>
    <w:rsid w:val="00C5366D"/>
    <w:rsid w:val="00C618E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94AC4"/>
    <w:rsid w:val="00CA1C8E"/>
    <w:rsid w:val="00CB1EA3"/>
    <w:rsid w:val="00CB5C0F"/>
    <w:rsid w:val="00CB65D7"/>
    <w:rsid w:val="00CC0C13"/>
    <w:rsid w:val="00CC171A"/>
    <w:rsid w:val="00CD39CE"/>
    <w:rsid w:val="00CE72FD"/>
    <w:rsid w:val="00CE7AEC"/>
    <w:rsid w:val="00CF65D0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5268D"/>
    <w:rsid w:val="00D526AE"/>
    <w:rsid w:val="00D52E37"/>
    <w:rsid w:val="00D6150C"/>
    <w:rsid w:val="00D847D7"/>
    <w:rsid w:val="00D9364D"/>
    <w:rsid w:val="00D964DA"/>
    <w:rsid w:val="00D972CF"/>
    <w:rsid w:val="00D97BF0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00636"/>
    <w:rsid w:val="00E14BA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059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56B7C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C5202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basedOn w:val="Normal"/>
    <w:uiPriority w:val="99"/>
    <w:qFormat/>
    <w:rsid w:val="00EA2059"/>
    <w:pPr>
      <w:spacing w:before="0" w:after="0" w:line="240" w:lineRule="auto"/>
      <w:ind w:firstLine="0"/>
      <w:jc w:val="left"/>
    </w:pPr>
    <w:rPr>
      <w:rFonts w:asciiTheme="minorHAnsi" w:hAnsiTheme="minorHAnsi" w:cs="Times New Roman"/>
      <w:kern w:val="24"/>
      <w:sz w:val="23"/>
      <w:szCs w:val="20"/>
      <w:lang w:eastAsia="fr-F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038BF-E34A-4138-9C7B-1234A251E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HP</cp:lastModifiedBy>
  <cp:revision>2</cp:revision>
  <cp:lastPrinted>2017-02-14T16:34:00Z</cp:lastPrinted>
  <dcterms:created xsi:type="dcterms:W3CDTF">2020-03-12T11:54:00Z</dcterms:created>
  <dcterms:modified xsi:type="dcterms:W3CDTF">2020-03-12T11:54:00Z</dcterms:modified>
</cp:coreProperties>
</file>